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center"/>
      </w:pPr>
      <w:r>
        <w:rPr>
          <w:b/>
          <w:bCs/>
          <w:color w:val="1B3A5C"/>
          <w:sz w:val="44"/>
          <w:szCs w:val="44"/>
        </w:rPr>
        <w:t xml:space="preserve">CQC REGISTRATION ROADMAP</w:t>
      </w:r>
    </w:p>
    <w:p>
      <w:pPr>
        <w:spacing w:after="40" w:before="0"/>
        <w:jc w:val="center"/>
      </w:pPr>
      <w:r>
        <w:rPr>
          <w:b/>
          <w:bCs/>
          <w:color w:val="2E7D8C"/>
          <w:sz w:val="28"/>
          <w:szCs w:val="28"/>
        </w:rPr>
        <w:t xml:space="preserve">Care Homes (Residential &amp; Nursing)</w:t>
      </w:r>
    </w:p>
    <w:p>
      <w:pPr>
        <w:spacing w:after="30" w:before="0"/>
        <w:jc w:val="center"/>
      </w:pPr>
      <w:r>
        <w:rPr>
          <w:color w:val="595959"/>
          <w:sz w:val="20"/>
          <w:szCs w:val="20"/>
        </w:rPr>
        <w:t xml:space="preserve">Health and Social Care Act 2008 · Health and Social Care Act 2008 (Regulated Activities) Regulations 2014</w:t>
      </w:r>
    </w:p>
    <w:p>
      <w:pPr>
        <w:spacing w:after="20" w:before="0"/>
        <w:jc w:val="center"/>
      </w:pPr>
      <w:r>
        <w:rPr>
          <w:i/>
          <w:iCs/>
          <w:color w:val="1B3A5C"/>
          <w:sz w:val="22"/>
          <w:szCs w:val="22"/>
        </w:rPr>
        <w:t xml:space="preserve">Supported by Cura Compliance UK</w:t>
      </w:r>
    </w:p>
    <w:p>
      <w:pPr>
        <w:spacing w:after="40" w:before="0"/>
        <w:jc w:val="center"/>
      </w:pPr>
      <w:r>
        <w:rPr>
          <w:color w:val="595959"/>
          <w:sz w:val="18"/>
          <w:szCs w:val="18"/>
        </w:rPr>
        <w:t xml:space="preserve">Prepared July 2026 · Aligned to current CQC guidance</w:t>
      </w:r>
    </w:p>
    <w:p>
      <w:pPr>
        <w:pBdr>
          <w:bottom w:val="single" w:color="2E7D8C" w:sz="8" w:space="1"/>
        </w:pBdr>
        <w:spacing w:after="160" w:before="80"/>
      </w:pPr>
      <w:r>
        <w:rPr>
          <w:sz w:val="4"/>
          <w:szCs w:val="4"/>
        </w:rPr>
        <w:t xml:space="preserve"/>
      </w:r>
    </w:p>
    <w:p>
      <w:pPr>
        <w:pStyle w:val="Heading1"/>
        <w:spacing w:after="120" w:before="60"/>
      </w:pPr>
      <w:r>
        <w:rPr>
          <w:b/>
          <w:bCs/>
          <w:color w:val="1B3A5C"/>
          <w:sz w:val="28"/>
          <w:szCs w:val="28"/>
        </w:rPr>
        <w:t xml:space="preserve">Overview</w:t>
      </w:r>
    </w:p>
    <w:p>
      <w:pPr>
        <w:spacing w:after="120" w:before="0"/>
      </w:pPr>
      <w:r>
        <w:rPr>
          <w:color w:val="000000"/>
          <w:sz w:val="22"/>
          <w:szCs w:val="22"/>
        </w:rPr>
        <w:t xml:space="preserve">Registering a care home with the Care Quality Commission (CQC) is the most premises-heavy CQC registration. The regulated activity Accommodation for persons who require nursing or personal care ties the registration to the building itself: planning use, fire safety, environmental health, equipment and room standards all form part of the assessment, and CQC may visit the premises before granting registration. A nursing home adds the activity Treatment of disease, disorder or injury and the nursing workforce that comes with it.</w:t>
      </w:r>
    </w:p>
    <w:p>
      <w:pPr>
        <w:spacing w:after="120" w:before="0"/>
      </w:pPr>
      <w:r>
        <w:rPr>
          <w:color w:val="000000"/>
          <w:sz w:val="22"/>
          <w:szCs w:val="22"/>
        </w:rPr>
        <w:t xml:space="preserve">This roadmap sets out every action required, who leads it, and how Cura Compliance UK and the provider work together as partners to achieve a successful registration. It follows the two-stage structure Cura uses for all registrations: Stage 1, building and submitting the application; and Stage 2, support through the assessment, any site visit and interviews until registration is granted.</w:t>
      </w:r>
    </w:p>
    <w:p>
      <w:pPr>
        <w:pStyle w:val="Heading2"/>
        <w:spacing w:after="100" w:before="120"/>
      </w:pPr>
      <w:r>
        <w:rPr>
          <w:b/>
          <w:bCs/>
          <w:color w:val="1B3A5C"/>
          <w:sz w:val="24"/>
          <w:szCs w:val="24"/>
        </w:rPr>
        <w:t xml:space="preserve">Three things that shape this registration</w:t>
      </w:r>
    </w:p>
    <w:tbl>
      <w:tblPr>
        <w:tblW w:type="dxa" w:w="9026"/>
        <w:tblBorders>
          <w:top w:val="single" w:color="2E7D8C" w:sz="4"/>
          <w:left w:val="single" w:color="2E7D8C" w:sz="18"/>
          <w:bottom w:val="single" w:color="2E7D8C" w:sz="4"/>
          <w:right w:val="single" w:color="2E7D8C" w:sz="4"/>
          <w:insideH w:val="single" w:color="auto" w:sz="4"/>
          <w:insideV w:val="single" w:color="auto" w:sz="4"/>
        </w:tblBorders>
      </w:tblPr>
      <w:tblGrid>
        <w:gridCol w:w="9026"/>
      </w:tblGrid>
      <w:tr>
        <w:tc>
          <w:tcPr>
            <w:tcW w:type="dxa" w:w="9026"/>
            <w:shd w:fill="F2F8F9" w:val="clear"/>
            <w:tcMar>
              <w:top w:type="dxa" w:w="140"/>
              <w:left w:type="dxa" w:w="200"/>
              <w:bottom w:type="dxa" w:w="140"/>
              <w:right w:type="dxa" w:w="200"/>
            </w:tcMar>
          </w:tcPr>
          <w:p>
            <w:pPr>
              <w:spacing w:after="80" w:before="20"/>
            </w:pPr>
            <w:r>
              <w:rPr>
                <w:b/>
                <w:bCs/>
                <w:color w:val="1B3A5C"/>
                <w:sz w:val="22"/>
                <w:szCs w:val="22"/>
              </w:rPr>
              <w:t xml:space="preserve">These three points shape every phase of this roadmap.</w:t>
            </w:r>
          </w:p>
          <w:p>
            <w:pPr>
              <w:spacing w:after="100" w:before="0"/>
            </w:pPr>
            <w:r>
              <w:rPr>
                <w:b/>
                <w:bCs/>
                <w:color w:val="2E7D8C"/>
                <w:sz w:val="21"/>
                <w:szCs w:val="21"/>
              </w:rPr>
              <w:t xml:space="preserve">1. The building is part of the registration.  </w:t>
            </w:r>
            <w:r>
              <w:rPr>
                <w:sz w:val="21"/>
                <w:szCs w:val="21"/>
              </w:rPr>
              <w:t xml:space="preserve">The home must have the right planning use (normally Class C2, residential institution), a fire risk assessment the fire authority would stand behind, environmental health registration for the kitchen, and rooms, bathing and communal space suited to the people who will live there. CQC can and does assess premises readiness — including by site visit — before registering.</w:t>
            </w:r>
          </w:p>
          <w:p>
            <w:pPr>
              <w:spacing w:after="100" w:before="0"/>
            </w:pPr>
            <w:r>
              <w:rPr>
                <w:b/>
                <w:bCs/>
                <w:color w:val="2E7D8C"/>
                <w:sz w:val="21"/>
                <w:szCs w:val="21"/>
              </w:rPr>
              <w:t xml:space="preserve">2. Readiness to admit, not intention to build.  </w:t>
            </w:r>
            <w:r>
              <w:rPr>
                <w:sz w:val="21"/>
                <w:szCs w:val="21"/>
              </w:rPr>
              <w:t xml:space="preserve">CQC expects the home to be genuinely ready to admit its first residents: manager and deputy in post, enough staff recruited and trained for opening occupancy, equipment in place, and every system — care planning, medicines, call bells, laundry, kitchen — working.</w:t>
            </w:r>
          </w:p>
          <w:p>
            <w:pPr>
              <w:spacing w:after="100" w:before="0"/>
            </w:pPr>
            <w:r>
              <w:rPr>
                <w:b/>
                <w:bCs/>
                <w:color w:val="2E7D8C"/>
                <w:sz w:val="21"/>
                <w:szCs w:val="21"/>
              </w:rPr>
              <w:t xml:space="preserve">3. Nursing changes the workload.  </w:t>
            </w:r>
            <w:r>
              <w:rPr>
                <w:sz w:val="21"/>
                <w:szCs w:val="21"/>
              </w:rPr>
              <w:t xml:space="preserve">If the home will provide nursing care, add Treatment of disease, disorder or injury, NMC-registered nurses on every shift, clinical equipment and medicines governance to match — and expect the interview to test clinical oversight.</w:t>
            </w:r>
          </w:p>
        </w:tc>
      </w:tr>
    </w:tbl>
    <w:p>
      <w:pPr>
        <w:spacing w:after="80" w:before="0"/>
      </w:pPr>
      <w:r>
        <w:rPr>
          <w:sz w:val="8"/>
          <w:szCs w:val="8"/>
        </w:rPr>
        <w:t xml:space="preserve"/>
      </w:r>
    </w:p>
    <w:p>
      <w:pPr>
        <w:pStyle w:val="Heading2"/>
        <w:spacing w:after="100" w:before="120"/>
      </w:pPr>
      <w:r>
        <w:rPr>
          <w:b/>
          <w:bCs/>
          <w:color w:val="1B3A5C"/>
          <w:sz w:val="24"/>
          <w:szCs w:val="24"/>
        </w:rPr>
        <w:t xml:space="preserve">Responsibility key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7626"/>
      </w:tblGrid>
      <w:tr>
        <w:tc>
          <w:tcPr>
            <w:tcW w:type="dxa" w:w="14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Cura Compliance UK delivers this work.</w:t>
            </w:r>
          </w:p>
        </w:tc>
      </w:tr>
      <w:tr>
        <w:tc>
          <w:tcPr>
            <w:tcW w:type="dxa" w:w="14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Provider action required. Cura advises, guides and reviews throughout, but only the provider can complete it.</w:t>
            </w:r>
          </w:p>
        </w:tc>
      </w:tr>
      <w:tr>
        <w:tc>
          <w:tcPr>
            <w:tcW w:type="dxa" w:w="14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Joint action — delivered together by Cura Compliance UK and the provider.</w:t>
            </w:r>
          </w:p>
        </w:tc>
      </w:tr>
      <w:tr>
        <w:tc>
          <w:tcPr>
            <w:tcW w:type="dxa" w:w="1400"/>
            <w:tcBorders>
              <w:top w:val="single" w:color="BFBFBF" w:sz="1"/>
              <w:left w:val="single" w:color="BFBFBF" w:sz="1"/>
              <w:bottom w:val="single" w:color="BFBFBF" w:sz="1"/>
              <w:right w:val="single" w:color="BFBFBF" w:sz="1"/>
            </w:tcBorders>
            <w:shd w:fill="FBEFD3" w:val="clear"/>
            <w:tcMar>
              <w:top w:type="dxa" w:w="80"/>
              <w:left w:type="dxa" w:w="120"/>
              <w:bottom w:type="dxa" w:w="80"/>
              <w:right w:type="dxa" w:w="120"/>
            </w:tcMar>
            <w:vAlign w:val="center"/>
          </w:tcPr>
          <w:p>
            <w:pPr>
              <w:spacing w:after="0" w:before="0"/>
              <w:jc w:val="center"/>
            </w:pPr>
            <w:r>
              <w:rPr>
                <w:b/>
                <w:bCs/>
                <w:color w:val="1B3A5C"/>
                <w:sz w:val="20"/>
                <w:szCs w:val="20"/>
              </w:rPr>
              <w:t xml:space="preserve">Optional</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Available from Cura Compliance UK as a separate package — not included in the standard engagement.</w:t>
            </w:r>
          </w:p>
        </w:tc>
      </w:tr>
      <w:tr>
        <w:tc>
          <w:tcPr>
            <w:tcW w:type="dxa" w:w="1400"/>
            <w:tcBorders>
              <w:top w:val="single" w:color="BFBFBF" w:sz="1"/>
              <w:left w:val="single" w:color="BFBFBF" w:sz="1"/>
              <w:bottom w:val="single" w:color="BFBFBF" w:sz="1"/>
              <w:right w:val="single" w:color="BFBFBF" w:sz="1"/>
            </w:tcBorders>
            <w:shd w:fill="EDE7F2" w:val="clear"/>
            <w:tcMar>
              <w:top w:type="dxa" w:w="80"/>
              <w:left w:type="dxa" w:w="120"/>
              <w:bottom w:type="dxa" w:w="80"/>
              <w:right w:type="dxa" w:w="120"/>
            </w:tcMar>
            <w:vAlign w:val="center"/>
          </w:tcPr>
          <w:p>
            <w:pPr>
              <w:spacing w:after="0" w:before="0"/>
              <w:jc w:val="center"/>
            </w:pPr>
            <w:r>
              <w:rPr>
                <w:b/>
                <w:bCs/>
                <w:color w:val="1B3A5C"/>
                <w:sz w:val="20"/>
                <w:szCs w:val="20"/>
              </w:rPr>
              <w:t xml:space="preserve">CQC</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Carried out by the Care Quality Commission. Neither the provider nor Cura completes this step.</w:t>
            </w:r>
          </w:p>
        </w:tc>
      </w:tr>
    </w:tbl>
    <w:p>
      <w:pPr>
        <w:spacing w:after="80" w:before="0"/>
      </w:pPr>
      <w:r>
        <w:rPr>
          <w:sz w:val="8"/>
          <w:szCs w:val="8"/>
        </w:rPr>
        <w:t xml:space="preserve"/>
      </w:r>
    </w:p>
    <w:p>
      <w:pPr>
        <w:pStyle w:val="Heading1"/>
        <w:spacing w:after="120" w:before="60"/>
      </w:pPr>
      <w:r>
        <w:rPr>
          <w:b/>
          <w:bCs/>
          <w:color w:val="1B3A5C"/>
          <w:sz w:val="28"/>
          <w:szCs w:val="28"/>
        </w:rPr>
        <w:t xml:space="preserve">Stage 1 — Building and submitting the application</w:t>
      </w:r>
    </w:p>
    <w:p>
      <w:pPr>
        <w:spacing w:after="120" w:before="0"/>
      </w:pPr>
      <w:r>
        <w:rPr>
          <w:color w:val="000000"/>
          <w:sz w:val="22"/>
          <w:szCs w:val="22"/>
        </w:rPr>
        <w:t xml:space="preserve">Phases 1 to 6 cover everything needed to build a complete, compliant application and submit it to CQC.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1  —  FOUNDATIONS, PROPERTY AND PLANNING</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1.1  Company set-up and Companies House match</w:t>
            </w:r>
          </w:p>
          <w:p>
            <w:pPr>
              <w:spacing w:after="0" w:before="0"/>
            </w:pPr>
            <w:r>
              <w:rPr>
                <w:sz w:val="20"/>
                <w:szCs w:val="20"/>
              </w:rPr>
              <w:t xml:space="preserve">Establish or confirm the limited company. The legal name and registered details must exactly match what is entered on the CQC application.</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1.2  Define the service model</w:t>
            </w:r>
          </w:p>
          <w:p>
            <w:pPr>
              <w:spacing w:after="0" w:before="0"/>
            </w:pPr>
            <w:r>
              <w:rPr>
                <w:sz w:val="20"/>
                <w:szCs w:val="20"/>
              </w:rPr>
              <w:t xml:space="preserve">Agree the resident group (older people, dementia, learning disability, mental health), residential or nursing, the number of beds, and the care approach. For learning disability and autism services, the model must satisfy Right support, right care, right culture — small-scale and person-centred. Cura shapes this into a registrable model.</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1.3  Secure the property</w:t>
            </w:r>
          </w:p>
          <w:p>
            <w:pPr>
              <w:spacing w:after="0" w:before="0"/>
            </w:pPr>
            <w:r>
              <w:rPr>
                <w:sz w:val="20"/>
                <w:szCs w:val="20"/>
              </w:rPr>
              <w:t xml:space="preserve">Purchase or lease the building. Size, layout, bedrooms (single occupancy with en-suites preferred), bathing ratios, communal and outdoor space must suit the intended residents.</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1.4  Planning permission / use class (normally C2)</w:t>
            </w:r>
          </w:p>
          <w:p>
            <w:pPr>
              <w:spacing w:after="0" w:before="0"/>
            </w:pPr>
            <w:r>
              <w:rPr>
                <w:sz w:val="20"/>
                <w:szCs w:val="20"/>
              </w:rPr>
              <w:t xml:space="preserve">Confirm with the local planning authority that the building has, or obtain, Class C2 (residential institution) use. This is the longest lead-in item; Cura advises while the provider (or their planning consultant) secures it.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1.5  Business plan and financial viability</w:t>
            </w:r>
          </w:p>
          <w:p>
            <w:pPr>
              <w:spacing w:after="0" w:before="0"/>
            </w:pPr>
            <w:r>
              <w:rPr>
                <w:sz w:val="20"/>
                <w:szCs w:val="20"/>
              </w:rPr>
              <w:t xml:space="preserve">Cura builds the full business plan, fee model and financial projections including fill-rate assumptions. The provider supplies funding evidence, build/refurbishment costs, and projections for years 1–2.</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1.6  Evidence local demand</w:t>
            </w:r>
          </w:p>
          <w:p>
            <w:pPr>
              <w:spacing w:after="0" w:before="0"/>
            </w:pPr>
            <w:r>
              <w:rPr>
                <w:sz w:val="20"/>
                <w:szCs w:val="20"/>
              </w:rPr>
              <w:t xml:space="preserve">Approach the local authority’s commissioning team and local ICB to evidence demand for the beds, and understand fee levels and framework routes. Cura helps frame the enquiry.</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bl>
    <w:p>
      <w:pPr>
        <w:spacing w:after="8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2  —  PEOPLE AND MANAGEMENT</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2.1  Appoint the Registered Manager</w:t>
            </w:r>
          </w:p>
          <w:p>
            <w:pPr>
              <w:spacing w:after="0" w:before="0"/>
            </w:pPr>
            <w:r>
              <w:rPr>
                <w:sz w:val="20"/>
                <w:szCs w:val="20"/>
              </w:rPr>
              <w:t xml:space="preserve">Appoint a manager who holds, or is working towards, the Level 5 Diploma in Leadership and Management for Adult Care, with experience relevant to the resident group. For nursing homes, clinical leadership arrangements must also be clear. The Registered Manager application, CQC-countersigned DBS, employment history and references must all be ready.</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2.2  Confirm the Nominated Individual</w:t>
            </w:r>
          </w:p>
          <w:p>
            <w:pPr>
              <w:spacing w:after="0" w:before="0"/>
            </w:pPr>
            <w:r>
              <w:rPr>
                <w:sz w:val="20"/>
                <w:szCs w:val="20"/>
              </w:rPr>
              <w:t xml:space="preserve">The Nominated Individual supervises the management of the regulated activity on behalf of the provider organisation and must be a director, manager or secretary of the company.</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2.3  Recruit the opening team</w:t>
            </w:r>
          </w:p>
          <w:p>
            <w:pPr>
              <w:spacing w:after="0" w:before="0"/>
            </w:pPr>
            <w:r>
              <w:rPr>
                <w:sz w:val="20"/>
                <w:szCs w:val="20"/>
              </w:rPr>
              <w:t xml:space="preserve">Recruit enough care staff — and NMC-registered nurses for every shift in a nursing home — to open safely at initial occupancy, with enhanced DBS checks, references and safer-recruitment (Schedule 3) files. Include catering, domestic and maintenance roles in the plan.</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2.4  Training and development plan</w:t>
            </w:r>
          </w:p>
          <w:p>
            <w:pPr>
              <w:spacing w:after="0" w:before="0"/>
            </w:pPr>
            <w:r>
              <w:rPr>
                <w:sz w:val="20"/>
                <w:szCs w:val="20"/>
              </w:rPr>
              <w:t xml:space="preserve">Care Certificate, moving and handling with equipment, medicines competency, safeguarding, MCA and DoLS, fire training, food hygiene for kitchen staff, and dementia or specialist training to match the resident group. Cura defines the matrix; the provider arranges delivery.</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2.5  Rotas and dependency tool</w:t>
            </w:r>
          </w:p>
          <w:p>
            <w:pPr>
              <w:spacing w:after="0" w:before="0"/>
            </w:pPr>
            <w:r>
              <w:rPr>
                <w:sz w:val="20"/>
                <w:szCs w:val="20"/>
              </w:rPr>
              <w:t xml:space="preserve">A staffing model and dependency tool showing safe staffing by day and night at opening and as occupancy grows.</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bl>
    <w:p>
      <w:pPr>
        <w:spacing w:after="8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3  —  PREMISES READINESS</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3.1  Fire safety</w:t>
            </w:r>
          </w:p>
          <w:p>
            <w:pPr>
              <w:spacing w:after="0" w:before="0"/>
            </w:pPr>
            <w:r>
              <w:rPr>
                <w:sz w:val="20"/>
                <w:szCs w:val="20"/>
              </w:rPr>
              <w:t xml:space="preserve">A fire risk assessment by a competent person, emergency plan and PEEP templates, fire training, and detection/alarm, emergency lighting and door systems tested and certificated.</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3.2  Premises safety certificates</w:t>
            </w:r>
          </w:p>
          <w:p>
            <w:pPr>
              <w:spacing w:after="0" w:before="0"/>
            </w:pPr>
            <w:r>
              <w:rPr>
                <w:sz w:val="20"/>
                <w:szCs w:val="20"/>
              </w:rPr>
              <w:t xml:space="preserve">Gas safety, electrical (EICR), legionella risk assessment and water temperature regime, lift and hoist LOLER examinations, and equipment servicing schedules.</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3.3  Kitchen and environmental health</w:t>
            </w:r>
          </w:p>
          <w:p>
            <w:pPr>
              <w:spacing w:after="0" w:before="0"/>
            </w:pPr>
            <w:r>
              <w:rPr>
                <w:sz w:val="20"/>
                <w:szCs w:val="20"/>
              </w:rPr>
              <w:t xml:space="preserve">Register the kitchen as a food business with the local authority, implement Safer Food Better Business, and prepare for an EHO inspection.</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3.4  Equipment and adaptations</w:t>
            </w:r>
          </w:p>
          <w:p>
            <w:pPr>
              <w:spacing w:after="0" w:before="0"/>
            </w:pPr>
            <w:r>
              <w:rPr>
                <w:sz w:val="20"/>
                <w:szCs w:val="20"/>
              </w:rPr>
              <w:t xml:space="preserve">Profiling beds, pressure-relieving mattresses, hoists and slings, assisted baths, call-bell system commissioned and tested, and — for nursing — clinical equipment with servicing records.</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3.5  IPC and laundry</w:t>
            </w:r>
          </w:p>
          <w:p>
            <w:pPr>
              <w:spacing w:after="0" w:before="0"/>
            </w:pPr>
            <w:r>
              <w:rPr>
                <w:sz w:val="20"/>
                <w:szCs w:val="20"/>
              </w:rPr>
              <w:t xml:space="preserve">IPC policy and audit, cleaning schedules, sluice/dirty-utility arrangements, laundry segregation flow, sharps and clinical waste contracts.</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3.6  Insurance</w:t>
            </w:r>
          </w:p>
          <w:p>
            <w:pPr>
              <w:spacing w:after="0" w:before="0"/>
            </w:pPr>
            <w:r>
              <w:rPr>
                <w:sz w:val="20"/>
                <w:szCs w:val="20"/>
              </w:rPr>
              <w:t xml:space="preserve">Buildings, contents, employer’s and public liability insurance — with medical malpractice cover where nursing is provided.</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3.7  Furnishing and a homely environment</w:t>
            </w:r>
          </w:p>
          <w:p>
            <w:pPr>
              <w:spacing w:after="0" w:before="0"/>
            </w:pPr>
            <w:r>
              <w:rPr>
                <w:sz w:val="20"/>
                <w:szCs w:val="20"/>
              </w:rPr>
              <w:t xml:space="preserve">Furnish and equip the home to a good, homely standard suited to the residents — including dementia-friendly design where relevant.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bl>
    <w:p>
      <w:pPr>
        <w:spacing w:after="8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4  —  CARE SYSTEMS AND MEDICINES</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4.1  Care planning and records system</w:t>
            </w:r>
          </w:p>
          <w:p>
            <w:pPr>
              <w:spacing w:after="0" w:before="0"/>
            </w:pPr>
            <w:r>
              <w:rPr>
                <w:sz w:val="20"/>
                <w:szCs w:val="20"/>
              </w:rPr>
              <w:t xml:space="preserve">Pre-admission assessment, care planning, risk assessment and daily-notes systems (paper or electronic) set up with worked examples ready to show. Cura builds the framework and templates.</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4.2  Medicines management</w:t>
            </w:r>
          </w:p>
          <w:p>
            <w:pPr>
              <w:spacing w:after="0" w:before="0"/>
            </w:pPr>
            <w:r>
              <w:rPr>
                <w:sz w:val="20"/>
                <w:szCs w:val="20"/>
              </w:rPr>
              <w:t xml:space="preserve">Medicines policy, storage (trolley, CD cabinet, fridge with monitoring), MAR system, ordering and disposal arrangements with a pharmacy, medicines competency assessments — and CD governance for nursing homes.</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4.3  Nutrition and hydration</w:t>
            </w:r>
          </w:p>
          <w:p>
            <w:pPr>
              <w:spacing w:after="0" w:before="0"/>
            </w:pPr>
            <w:r>
              <w:rPr>
                <w:sz w:val="20"/>
                <w:szCs w:val="20"/>
              </w:rPr>
              <w:t xml:space="preserve">Menus, dietary and texture-modification arrangements (IDDSI), weight monitoring and nutrition risk tools (MUST).</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4.4  MCA, DoLS and consent</w:t>
            </w:r>
          </w:p>
          <w:p>
            <w:pPr>
              <w:spacing w:after="0" w:before="0"/>
            </w:pPr>
            <w:r>
              <w:rPr>
                <w:sz w:val="20"/>
                <w:szCs w:val="20"/>
              </w:rPr>
              <w:t xml:space="preserve">Capacity assessment and best-interests processes, and a DoLS application pathway ready for use from admission.</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bl>
    <w:p>
      <w:pPr>
        <w:spacing w:after="8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5  —  DOCUMENTATION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5.1  Statement of Purpose</w:t>
            </w:r>
          </w:p>
          <w:p>
            <w:pPr>
              <w:spacing w:after="0" w:before="0"/>
            </w:pPr>
            <w:r>
              <w:rPr>
                <w:sz w:val="20"/>
                <w:szCs w:val="20"/>
              </w:rPr>
              <w:t xml:space="preserve">Cura writes the Statement of Purpose covering aims and objectives, the regulated activities, service user bands, the home’s facilities, and the management structure.</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5.2  Policies and procedures</w:t>
            </w:r>
          </w:p>
          <w:p>
            <w:pPr>
              <w:spacing w:after="0" w:before="0"/>
            </w:pPr>
            <w:r>
              <w:rPr>
                <w:sz w:val="20"/>
                <w:szCs w:val="20"/>
              </w:rPr>
              <w:t xml:space="preserve">Fully tailored suite: safeguarding, medicines, IPC, falls, pressure care, nutrition, end-of-life care, MCA and DoLS, complaints, duty of candour, visiting, activities, recruitment, fire and emergencies, and more. Full list available on our website.</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5.3  Governance framework</w:t>
            </w:r>
          </w:p>
          <w:p>
            <w:pPr>
              <w:spacing w:after="0" w:before="0"/>
            </w:pPr>
            <w:r>
              <w:rPr>
                <w:sz w:val="20"/>
                <w:szCs w:val="20"/>
              </w:rPr>
              <w:t xml:space="preserve">Audit programme (medicines, care plans, IPC, falls, environment), incident reporting and analysis, resident and relative feedback, staff supervision cycles — documented and ready to describe at interview. ICO registration included.</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5.4  Shared document review</w:t>
            </w:r>
          </w:p>
          <w:p>
            <w:pPr>
              <w:spacing w:after="0" w:before="0"/>
            </w:pPr>
            <w:r>
              <w:rPr>
                <w:sz w:val="20"/>
                <w:szCs w:val="20"/>
              </w:rPr>
              <w:t xml:space="preserve">Cura uploads each chapter to a shared Google Drive folder as it is completed; the provider reviews and confirms that every document accurately reflects the home.</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bl>
    <w:p>
      <w:pPr>
        <w:spacing w:after="8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6  —  APPLICATION SUBMISSION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6.1  Provider application</w:t>
            </w:r>
          </w:p>
          <w:p>
            <w:pPr>
              <w:spacing w:after="0" w:before="0"/>
            </w:pPr>
            <w:r>
              <w:rPr>
                <w:sz w:val="20"/>
                <w:szCs w:val="20"/>
              </w:rPr>
              <w:t xml:space="preserve">Cura completes the new provider application — Accommodation for persons who require nursing or personal care (plus Treatment of disease, disorder or injury for nursing), the location, bed numbers, service types and service user bands — and the provider reviews it before submission.</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6.2  Registered Manager application</w:t>
            </w:r>
          </w:p>
          <w:p>
            <w:pPr>
              <w:spacing w:after="0" w:before="0"/>
            </w:pPr>
            <w:r>
              <w:rPr>
                <w:sz w:val="20"/>
                <w:szCs w:val="20"/>
              </w:rPr>
              <w:t xml:space="preserve">The Registered Manager’s own application, submitted alongside the provider application. Cura completes the form; the manager supplies personal details, employment history, references and GP details, and completes the CQC-countersigned DBS.</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6.3  Supporting evidence</w:t>
            </w:r>
          </w:p>
          <w:p>
            <w:pPr>
              <w:spacing w:after="0" w:before="0"/>
            </w:pPr>
            <w:r>
              <w:rPr>
                <w:sz w:val="20"/>
                <w:szCs w:val="20"/>
              </w:rPr>
              <w:t xml:space="preserve">Statement of Purpose, financial viability evidence, premises evidence and any requested documents prepared and attached in the required format.</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6.4  Final review and submission</w:t>
            </w:r>
          </w:p>
          <w:p>
            <w:pPr>
              <w:spacing w:after="0" w:before="0"/>
            </w:pPr>
            <w:r>
              <w:rPr>
                <w:sz w:val="20"/>
                <w:szCs w:val="20"/>
              </w:rPr>
              <w:t xml:space="preserve">Cura conducts a full consistency and compliance review of every form and document before submitting the complete application to CQC.</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bl>
    <w:p>
      <w:pPr>
        <w:spacing w:after="80" w:before="0"/>
      </w:pPr>
      <w:r>
        <w:rPr>
          <w:sz w:val="8"/>
          <w:szCs w:val="8"/>
        </w:rPr>
        <w:t xml:space="preserve"/>
      </w:r>
    </w:p>
    <w:p>
      <w:pPr>
        <w:pStyle w:val="Heading1"/>
        <w:spacing w:after="120" w:before="60"/>
      </w:pPr>
      <w:r>
        <w:rPr>
          <w:b/>
          <w:bCs/>
          <w:color w:val="1B3A5C"/>
          <w:sz w:val="28"/>
          <w:szCs w:val="28"/>
        </w:rPr>
        <w:t xml:space="preserve">Stage 2 — Support through to successful registration</w:t>
      </w:r>
    </w:p>
    <w:p>
      <w:pPr>
        <w:spacing w:after="120" w:before="0"/>
      </w:pPr>
      <w:r>
        <w:rPr>
          <w:color w:val="000000"/>
          <w:sz w:val="22"/>
          <w:szCs w:val="22"/>
        </w:rPr>
        <w:t xml:space="preserve">Phase 7 covers the assessment, any site visit, the interviews, and the decision. This is where Cura’s preparation and advice are most valuable.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7  —  ASSESSMENT, SITE VISIT, INTERVIEWS AND DECISION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7.1  Application adjustments and resubmissions</w:t>
            </w:r>
          </w:p>
          <w:p>
            <w:pPr>
              <w:spacing w:after="0" w:before="0"/>
            </w:pPr>
            <w:r>
              <w:rPr>
                <w:sz w:val="20"/>
                <w:szCs w:val="20"/>
              </w:rPr>
              <w:t xml:space="preserve">Following CQC’s stricter acceptance regime for care homes, supported living and domiciliary care, applications can be rejected for any legal error. Cura expects this and handles all required adjustments and resubmissions until the application is accepted by a Registration Inspector.</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7.2  Ongoing follow-up</w:t>
            </w:r>
          </w:p>
          <w:p>
            <w:pPr>
              <w:spacing w:after="0" w:before="0"/>
            </w:pPr>
            <w:r>
              <w:rPr>
                <w:sz w:val="20"/>
                <w:szCs w:val="20"/>
              </w:rPr>
              <w:t xml:space="preserve">We follow up with CQC on your behalf throughout the assessment. If the inspector requests further information, we manage the response.</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7.3  Mock interviews and pre-visit readiness review</w:t>
            </w:r>
          </w:p>
          <w:p>
            <w:pPr>
              <w:spacing w:after="0" w:before="0"/>
            </w:pPr>
            <w:r>
              <w:rPr>
                <w:sz w:val="20"/>
                <w:szCs w:val="20"/>
              </w:rPr>
              <w:t xml:space="preserve">Mock fitness interviews for the Registered Manager and Nominated Individual, plus a readiness review of the building, systems and files against CQC’s expectations before any site visit.</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7.4  Site visit</w:t>
            </w:r>
          </w:p>
          <w:p>
            <w:pPr>
              <w:spacing w:after="0" w:before="0"/>
            </w:pPr>
            <w:r>
              <w:rPr>
                <w:sz w:val="20"/>
                <w:szCs w:val="20"/>
              </w:rPr>
              <w:t xml:space="preserve">Where CQC visits the home, the provider hosts the visit and presents the premises, equipment, staffing and systems. Cura prepares the team and the evidence in advance.</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7.5  Registration interview</w:t>
            </w:r>
          </w:p>
          <w:p>
            <w:pPr>
              <w:spacing w:after="0" w:before="0"/>
            </w:pPr>
            <w:r>
              <w:rPr>
                <w:sz w:val="20"/>
                <w:szCs w:val="20"/>
              </w:rPr>
              <w:t xml:space="preserve">CQC interviews the Registered Manager (and may speak to the Nominated Individual). Expect questions on admission decisions, staffing, medicines, the environment and how quality is monitored.</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7.6  Registration decision</w:t>
            </w:r>
          </w:p>
          <w:p>
            <w:pPr>
              <w:spacing w:after="0" w:before="0"/>
            </w:pPr>
            <w:r>
              <w:rPr>
                <w:sz w:val="20"/>
                <w:szCs w:val="20"/>
              </w:rPr>
              <w:t xml:space="preserve">CQC issues its decision and the certificate of registration, usually with a condition stating the maximum number of residents. Residents may only be admitted once registration is granted.</w:t>
            </w:r>
          </w:p>
        </w:tc>
        <w:tc>
          <w:tcPr>
            <w:tcW w:type="dxa" w:w="1600"/>
            <w:tcBorders>
              <w:top w:val="single" w:color="BFBFBF" w:sz="1"/>
              <w:left w:val="single" w:color="BFBFBF" w:sz="1"/>
              <w:bottom w:val="single" w:color="BFBFBF" w:sz="1"/>
              <w:right w:val="single" w:color="BFBFBF" w:sz="1"/>
            </w:tcBorders>
            <w:shd w:fill="EDE7F2" w:val="clear"/>
            <w:tcMar>
              <w:top w:type="dxa" w:w="80"/>
              <w:left w:type="dxa" w:w="120"/>
              <w:bottom w:type="dxa" w:w="80"/>
              <w:right w:type="dxa" w:w="120"/>
            </w:tcMar>
            <w:vAlign w:val="center"/>
          </w:tcPr>
          <w:p>
            <w:pPr>
              <w:spacing w:after="0" w:before="0"/>
              <w:jc w:val="center"/>
            </w:pPr>
            <w:r>
              <w:rPr>
                <w:b/>
                <w:bCs/>
                <w:color w:val="1B3A5C"/>
                <w:sz w:val="20"/>
                <w:szCs w:val="20"/>
              </w:rPr>
              <w:t xml:space="preserve">CQC</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7.7  Post-registration readiness</w:t>
            </w:r>
          </w:p>
          <w:p>
            <w:pPr>
              <w:spacing w:after="0" w:before="0"/>
            </w:pPr>
            <w:r>
              <w:rPr>
                <w:sz w:val="20"/>
                <w:szCs w:val="20"/>
              </w:rPr>
              <w:t xml:space="preserve">Statutory notifications, DoLS applications from admission, the ongoing audit cycle, safe phased admissions, and preparation for the first inspection.</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bl>
    <w:p>
      <w:pPr>
        <w:spacing w:after="80" w:before="0"/>
      </w:pPr>
      <w:r>
        <w:rPr>
          <w:sz w:val="8"/>
          <w:szCs w:val="8"/>
        </w:rPr>
        <w:t xml:space="preserve"/>
      </w:r>
    </w:p>
    <w:p>
      <w:pPr>
        <w:pStyle w:val="Heading1"/>
        <w:spacing w:after="120" w:before="60"/>
      </w:pPr>
      <w:r>
        <w:rPr>
          <w:b/>
          <w:bCs/>
          <w:color w:val="1B3A5C"/>
          <w:sz w:val="28"/>
          <w:szCs w:val="28"/>
        </w:rPr>
        <w:t xml:space="preserve">Critical path and indicative timing</w:t>
      </w:r>
    </w:p>
    <w:p>
      <w:pPr>
        <w:pStyle w:val="ListParagraph"/>
        <w:numPr>
          <w:ilvl w:val="0"/>
          <w:numId w:val="2"/>
        </w:numPr>
        <w:spacing w:after="60" w:before="0"/>
      </w:pPr>
      <w:r>
        <w:rPr>
          <w:sz w:val="21"/>
          <w:szCs w:val="21"/>
        </w:rPr>
        <w:t xml:space="preserve">Start planning / use class first. It is the longest lead-in item and the registration cannot conclude without the building being lawfully usable as a care home.</w:t>
      </w:r>
    </w:p>
    <w:p>
      <w:pPr>
        <w:pStyle w:val="ListParagraph"/>
        <w:numPr>
          <w:ilvl w:val="0"/>
          <w:numId w:val="2"/>
        </w:numPr>
        <w:spacing w:after="60" w:before="0"/>
      </w:pPr>
      <w:r>
        <w:rPr>
          <w:sz w:val="21"/>
          <w:szCs w:val="21"/>
        </w:rPr>
        <w:t xml:space="preserve">Recruit the Registered Manager early. Applications are commonly delayed or refused where no suitably qualified manager is in place.</w:t>
      </w:r>
    </w:p>
    <w:p>
      <w:pPr>
        <w:pStyle w:val="ListParagraph"/>
        <w:numPr>
          <w:ilvl w:val="0"/>
          <w:numId w:val="2"/>
        </w:numPr>
        <w:spacing w:after="60" w:before="0"/>
      </w:pPr>
      <w:r>
        <w:rPr>
          <w:sz w:val="21"/>
          <w:szCs w:val="21"/>
        </w:rPr>
        <w:t xml:space="preserve">Sequence the fit-out against the application. Fire, environmental health, equipment and furnishing must be complete by the site-visit stage, not the submission stage.</w:t>
      </w:r>
    </w:p>
    <w:p>
      <w:pPr>
        <w:pStyle w:val="ListParagraph"/>
        <w:numPr>
          <w:ilvl w:val="0"/>
          <w:numId w:val="2"/>
        </w:numPr>
        <w:spacing w:after="60" w:before="0"/>
      </w:pPr>
      <w:r>
        <w:rPr>
          <w:sz w:val="21"/>
          <w:szCs w:val="21"/>
        </w:rPr>
        <w:t xml:space="preserve">Allow roughly 10–12 weeks from a clean submission to decision — longer where a site visit is required; rejections for legal errors restart the clock.</w:t>
      </w:r>
    </w:p>
    <w:p>
      <w:pPr>
        <w:pStyle w:val="Heading1"/>
        <w:spacing w:after="120" w:before="60"/>
      </w:pPr>
      <w:r>
        <w:rPr>
          <w:b/>
          <w:bCs/>
          <w:color w:val="1B3A5C"/>
          <w:sz w:val="28"/>
          <w:szCs w:val="28"/>
        </w:rPr>
        <w:t xml:space="preserve">Required documents checklist</w:t>
      </w:r>
    </w:p>
    <w:p>
      <w:pPr>
        <w:spacing w:after="120" w:before="0"/>
      </w:pPr>
      <w:r>
        <w:rPr>
          <w:color w:val="000000"/>
          <w:sz w:val="22"/>
          <w:szCs w:val="22"/>
        </w:rPr>
        <w:t xml:space="preserve">Submitted with the application:</w:t>
      </w:r>
    </w:p>
    <w:p>
      <w:pPr>
        <w:pStyle w:val="ListParagraph"/>
        <w:numPr>
          <w:ilvl w:val="0"/>
          <w:numId w:val="2"/>
        </w:numPr>
        <w:spacing w:after="60" w:before="0"/>
      </w:pPr>
      <w:r>
        <w:rPr>
          <w:sz w:val="21"/>
          <w:szCs w:val="21"/>
        </w:rPr>
        <w:t xml:space="preserve">Statement of Purpose</w:t>
      </w:r>
    </w:p>
    <w:p>
      <w:pPr>
        <w:pStyle w:val="ListParagraph"/>
        <w:numPr>
          <w:ilvl w:val="0"/>
          <w:numId w:val="2"/>
        </w:numPr>
        <w:spacing w:after="60" w:before="0"/>
      </w:pPr>
      <w:r>
        <w:rPr>
          <w:sz w:val="21"/>
          <w:szCs w:val="21"/>
        </w:rPr>
        <w:t xml:space="preserve">Provider application (regulated activities, location, bed numbers, service user bands)</w:t>
      </w:r>
    </w:p>
    <w:p>
      <w:pPr>
        <w:pStyle w:val="ListParagraph"/>
        <w:numPr>
          <w:ilvl w:val="0"/>
          <w:numId w:val="2"/>
        </w:numPr>
        <w:spacing w:after="60" w:before="0"/>
      </w:pPr>
      <w:r>
        <w:rPr>
          <w:sz w:val="21"/>
          <w:szCs w:val="21"/>
        </w:rPr>
        <w:t xml:space="preserve">Registered Manager application with CQC-countersigned DBS</w:t>
      </w:r>
    </w:p>
    <w:p>
      <w:pPr>
        <w:pStyle w:val="ListParagraph"/>
        <w:numPr>
          <w:ilvl w:val="0"/>
          <w:numId w:val="2"/>
        </w:numPr>
        <w:spacing w:after="60" w:before="0"/>
      </w:pPr>
      <w:r>
        <w:rPr>
          <w:sz w:val="21"/>
          <w:szCs w:val="21"/>
        </w:rPr>
        <w:t xml:space="preserve">Business plan and financial viability evidence</w:t>
      </w:r>
    </w:p>
    <w:p>
      <w:pPr>
        <w:pStyle w:val="ListParagraph"/>
        <w:numPr>
          <w:ilvl w:val="0"/>
          <w:numId w:val="2"/>
        </w:numPr>
        <w:spacing w:after="60" w:before="0"/>
      </w:pPr>
      <w:r>
        <w:rPr>
          <w:sz w:val="21"/>
          <w:szCs w:val="21"/>
        </w:rPr>
        <w:t xml:space="preserve">Evidence of planning permission or C2 use-class confirmation</w:t>
      </w:r>
    </w:p>
    <w:p>
      <w:pPr>
        <w:pStyle w:val="ListParagraph"/>
        <w:numPr>
          <w:ilvl w:val="0"/>
          <w:numId w:val="2"/>
        </w:numPr>
        <w:spacing w:after="60" w:before="0"/>
      </w:pPr>
      <w:r>
        <w:rPr>
          <w:sz w:val="21"/>
          <w:szCs w:val="21"/>
        </w:rPr>
        <w:t xml:space="preserve">ICO registration</w:t>
      </w:r>
    </w:p>
    <w:p>
      <w:pPr>
        <w:spacing w:after="120" w:before="0"/>
      </w:pPr>
      <w:r>
        <w:rPr>
          <w:color w:val="000000"/>
          <w:sz w:val="22"/>
          <w:szCs w:val="22"/>
        </w:rPr>
        <w:t xml:space="preserve">Ready at or before the site visit and interview stage (in addition to the above):</w:t>
      </w:r>
    </w:p>
    <w:p>
      <w:pPr>
        <w:pStyle w:val="ListParagraph"/>
        <w:numPr>
          <w:ilvl w:val="0"/>
          <w:numId w:val="2"/>
        </w:numPr>
        <w:spacing w:after="60" w:before="0"/>
      </w:pPr>
      <w:r>
        <w:rPr>
          <w:sz w:val="21"/>
          <w:szCs w:val="21"/>
        </w:rPr>
        <w:t xml:space="preserve">Full policy and procedure suite, including medicines, MCA/DoLS and end-of-life care</w:t>
      </w:r>
    </w:p>
    <w:p>
      <w:pPr>
        <w:pStyle w:val="ListParagraph"/>
        <w:numPr>
          <w:ilvl w:val="0"/>
          <w:numId w:val="2"/>
        </w:numPr>
        <w:spacing w:after="60" w:before="0"/>
      </w:pPr>
      <w:r>
        <w:rPr>
          <w:sz w:val="21"/>
          <w:szCs w:val="21"/>
        </w:rPr>
        <w:t xml:space="preserve">Fire risk assessment, emergency plan and alarm/emergency-lighting certificates</w:t>
      </w:r>
    </w:p>
    <w:p>
      <w:pPr>
        <w:pStyle w:val="ListParagraph"/>
        <w:numPr>
          <w:ilvl w:val="0"/>
          <w:numId w:val="2"/>
        </w:numPr>
        <w:spacing w:after="60" w:before="0"/>
      </w:pPr>
      <w:r>
        <w:rPr>
          <w:sz w:val="21"/>
          <w:szCs w:val="21"/>
        </w:rPr>
        <w:t xml:space="preserve">Premises certificates — gas, EICR, legionella, LOLER for lifts and hoists</w:t>
      </w:r>
    </w:p>
    <w:p>
      <w:pPr>
        <w:pStyle w:val="ListParagraph"/>
        <w:numPr>
          <w:ilvl w:val="0"/>
          <w:numId w:val="2"/>
        </w:numPr>
        <w:spacing w:after="60" w:before="0"/>
      </w:pPr>
      <w:r>
        <w:rPr>
          <w:sz w:val="21"/>
          <w:szCs w:val="21"/>
        </w:rPr>
        <w:t xml:space="preserve">Food business registration and kitchen readiness (Safer Food Better Business)</w:t>
      </w:r>
    </w:p>
    <w:p>
      <w:pPr>
        <w:pStyle w:val="ListParagraph"/>
        <w:numPr>
          <w:ilvl w:val="0"/>
          <w:numId w:val="2"/>
        </w:numPr>
        <w:spacing w:after="60" w:before="0"/>
      </w:pPr>
      <w:r>
        <w:rPr>
          <w:sz w:val="21"/>
          <w:szCs w:val="21"/>
        </w:rPr>
        <w:t xml:space="preserve">Care planning and records system with worked examples</w:t>
      </w:r>
    </w:p>
    <w:p>
      <w:pPr>
        <w:pStyle w:val="ListParagraph"/>
        <w:numPr>
          <w:ilvl w:val="0"/>
          <w:numId w:val="2"/>
        </w:numPr>
        <w:spacing w:after="60" w:before="0"/>
      </w:pPr>
      <w:r>
        <w:rPr>
          <w:sz w:val="21"/>
          <w:szCs w:val="21"/>
        </w:rPr>
        <w:t xml:space="preserve">Medicines systems — storage, MAR, pharmacy arrangement, CD governance for nursing</w:t>
      </w:r>
    </w:p>
    <w:p>
      <w:pPr>
        <w:pStyle w:val="ListParagraph"/>
        <w:numPr>
          <w:ilvl w:val="0"/>
          <w:numId w:val="2"/>
        </w:numPr>
        <w:spacing w:after="60" w:before="0"/>
      </w:pPr>
      <w:r>
        <w:rPr>
          <w:sz w:val="21"/>
          <w:szCs w:val="21"/>
        </w:rPr>
        <w:t xml:space="preserve">Staffing rotas, dependency tool, training matrix and safer-recruitment (Schedule 3) files</w:t>
      </w:r>
    </w:p>
    <w:p>
      <w:pPr>
        <w:pStyle w:val="ListParagraph"/>
        <w:numPr>
          <w:ilvl w:val="0"/>
          <w:numId w:val="2"/>
        </w:numPr>
        <w:spacing w:after="60" w:before="0"/>
      </w:pPr>
      <w:r>
        <w:rPr>
          <w:sz w:val="21"/>
          <w:szCs w:val="21"/>
        </w:rPr>
        <w:t xml:space="preserve">Insurance — buildings, employer’s and public liability (plus malpractice for nursing)</w:t>
      </w:r>
    </w:p>
    <w:p>
      <w:pPr>
        <w:pStyle w:val="ListParagraph"/>
        <w:numPr>
          <w:ilvl w:val="0"/>
          <w:numId w:val="2"/>
        </w:numPr>
        <w:spacing w:after="60" w:before="0"/>
      </w:pPr>
      <w:r>
        <w:rPr>
          <w:sz w:val="21"/>
          <w:szCs w:val="21"/>
        </w:rPr>
        <w:t xml:space="preserve">Call-bell system commissioned; equipment serviced; home furnished and ready to admit</w:t>
      </w:r>
    </w:p>
    <w:p>
      <w:pPr>
        <w:pStyle w:val="Heading1"/>
        <w:spacing w:after="120" w:before="60"/>
      </w:pPr>
      <w:r>
        <w:rPr>
          <w:b/>
          <w:bCs/>
          <w:color w:val="1B3A5C"/>
          <w:sz w:val="28"/>
          <w:szCs w:val="28"/>
        </w:rPr>
        <w:t xml:space="preserve">Payment structure</w:t>
      </w:r>
    </w:p>
    <w:p>
      <w:pPr>
        <w:spacing w:after="120" w:before="0"/>
      </w:pPr>
      <w:r>
        <w:rPr>
          <w:color w:val="000000"/>
          <w:sz w:val="22"/>
          <w:szCs w:val="22"/>
        </w:rPr>
        <w:t xml:space="preserve">Cura works in two stages, mirroring its established approach:</w:t>
      </w:r>
    </w:p>
    <w:p>
      <w:pPr>
        <w:pStyle w:val="ListParagraph"/>
        <w:numPr>
          <w:ilvl w:val="0"/>
          <w:numId w:val="2"/>
        </w:numPr>
        <w:spacing w:after="60" w:before="0"/>
      </w:pPr>
      <w:r>
        <w:rPr>
          <w:sz w:val="21"/>
          <w:szCs w:val="21"/>
        </w:rPr>
        <w:t xml:space="preserve">Stage 1 — Documentation and submission: the business plan, Statement of Purpose, the full policy suite and care-systems frameworks, and completion and submission of the provider and Registered Manager applications.</w:t>
      </w:r>
    </w:p>
    <w:p>
      <w:pPr>
        <w:pStyle w:val="ListParagraph"/>
        <w:numPr>
          <w:ilvl w:val="0"/>
          <w:numId w:val="2"/>
        </w:numPr>
        <w:spacing w:after="60" w:before="0"/>
      </w:pPr>
      <w:r>
        <w:rPr>
          <w:sz w:val="21"/>
          <w:szCs w:val="21"/>
        </w:rPr>
        <w:t xml:space="preserve">Stage 2 — Support through to successful registration: application adjustments, ongoing follow-up with CQC, mock interviews, and preparation for the registration assessment and interviews until registration is granted.</w:t>
      </w:r>
    </w:p>
    <w:p>
      <w:pPr>
        <w:spacing w:after="120" w:before="0"/>
      </w:pPr>
      <w:r>
        <w:rPr>
          <w:color w:val="000000"/>
          <w:sz w:val="22"/>
          <w:szCs w:val="22"/>
        </w:rPr>
        <w:t xml:space="preserve">Stage 1 is agreed at the start of the engagement. Stage 2 is taken close to the interview stage. If registration is refused following the interview stage, the Stage 2 fee is refunded — Cura’s guaranteed-success approach. This guarantee assumes the provider has completed their own actions in line with this roadmap.</w:t>
      </w:r>
    </w:p>
    <w:p>
      <w:pPr>
        <w:spacing w:after="120" w:before="0"/>
      </w:pPr>
      <w:r>
        <w:rPr>
          <w:color w:val="000000"/>
          <w:sz w:val="22"/>
          <w:szCs w:val="22"/>
        </w:rPr>
        <w:t xml:space="preserve">CQC does not charge an application fee. An annual fee becomes payable to CQC once registration is granted, and is paid by the provider directly to CQC.</w:t>
      </w:r>
    </w:p>
    <w:p>
      <w:pPr>
        <w:pStyle w:val="Heading1"/>
        <w:spacing w:after="120" w:before="60"/>
      </w:pPr>
      <w:r>
        <w:rPr>
          <w:b/>
          <w:bCs/>
          <w:color w:val="1B3A5C"/>
          <w:sz w:val="28"/>
          <w:szCs w:val="28"/>
        </w:rPr>
        <w:t xml:space="preserve">Ongoing support and communication</w:t>
      </w:r>
    </w:p>
    <w:p>
      <w:pPr>
        <w:pStyle w:val="ListParagraph"/>
        <w:numPr>
          <w:ilvl w:val="0"/>
          <w:numId w:val="2"/>
        </w:numPr>
        <w:spacing w:after="60" w:before="0"/>
      </w:pPr>
      <w:r>
        <w:rPr>
          <w:sz w:val="21"/>
          <w:szCs w:val="21"/>
        </w:rPr>
        <w:t xml:space="preserve">Access to our business WhatsApp for quick queries and updates.</w:t>
      </w:r>
    </w:p>
    <w:p>
      <w:pPr>
        <w:pStyle w:val="ListParagraph"/>
        <w:numPr>
          <w:ilvl w:val="0"/>
          <w:numId w:val="2"/>
        </w:numPr>
        <w:spacing w:after="60" w:before="0"/>
      </w:pPr>
      <w:r>
        <w:rPr>
          <w:sz w:val="21"/>
          <w:szCs w:val="21"/>
        </w:rPr>
        <w:t xml:space="preserve">Two dedicated consultants available throughout the process.</w:t>
      </w:r>
    </w:p>
    <w:p>
      <w:pPr>
        <w:pStyle w:val="ListParagraph"/>
        <w:numPr>
          <w:ilvl w:val="0"/>
          <w:numId w:val="2"/>
        </w:numPr>
        <w:spacing w:after="60" w:before="0"/>
      </w:pPr>
      <w:r>
        <w:rPr>
          <w:sz w:val="21"/>
          <w:szCs w:val="21"/>
        </w:rPr>
        <w:t xml:space="preserve">Office consultation meetings arranged as needed.</w:t>
      </w:r>
    </w:p>
    <w:p>
      <w:pPr>
        <w:pStyle w:val="ListParagraph"/>
        <w:numPr>
          <w:ilvl w:val="0"/>
          <w:numId w:val="2"/>
        </w:numPr>
        <w:spacing w:after="60" w:before="0"/>
      </w:pPr>
      <w:r>
        <w:rPr>
          <w:sz w:val="21"/>
          <w:szCs w:val="21"/>
        </w:rPr>
        <w:t xml:space="preserve">Guidance, mentoring sessions and advisory consultations at each phase.</w:t>
      </w:r>
    </w:p>
    <w:p>
      <w:pPr>
        <w:spacing w:after="120" w:before="0"/>
      </w:pPr>
      <w:r>
        <w:rPr>
          <w:color w:val="000000"/>
          <w:sz w:val="22"/>
          <w:szCs w:val="22"/>
        </w:rPr>
        <w:t xml:space="preserve">Website development: we also offer a separate website development service through a dedicated developer. Please speak with us for details.</w:t>
      </w:r>
    </w:p>
    <w:p>
      <w:pPr>
        <w:pStyle w:val="Heading1"/>
        <w:spacing w:after="120" w:before="60"/>
      </w:pPr>
      <w:r>
        <w:rPr>
          <w:b/>
          <w:bCs/>
          <w:color w:val="1B3A5C"/>
          <w:sz w:val="28"/>
          <w:szCs w:val="28"/>
        </w:rPr>
        <w:t xml:space="preserve">Our partnership approach</w:t>
      </w:r>
    </w:p>
    <w:p>
      <w:pPr>
        <w:spacing w:after="120" w:before="0"/>
      </w:pPr>
      <w:r>
        <w:rPr>
          <w:color w:val="000000"/>
          <w:sz w:val="22"/>
          <w:szCs w:val="22"/>
        </w:rPr>
        <w:t xml:space="preserve">This process is built on partnership. We commit to expert guidance, thorough documentation and hands-on support at every stage. Because CQC requires the home to be genuinely ready to admit residents — and may visit to check — the provider’s timely completion of planning, premises, equipment and staffing actions is essential to the timeline and to a successful outcome. In return, we ask our clients to:</w:t>
      </w:r>
    </w:p>
    <w:p>
      <w:pPr>
        <w:pStyle w:val="ListParagraph"/>
        <w:numPr>
          <w:ilvl w:val="0"/>
          <w:numId w:val="2"/>
        </w:numPr>
        <w:spacing w:after="60" w:before="0"/>
      </w:pPr>
      <w:r>
        <w:rPr>
          <w:sz w:val="21"/>
          <w:szCs w:val="21"/>
        </w:rPr>
        <w:t xml:space="preserve">Follow our recommendations and guidance throughout the process.</w:t>
      </w:r>
    </w:p>
    <w:p>
      <w:pPr>
        <w:pStyle w:val="ListParagraph"/>
        <w:numPr>
          <w:ilvl w:val="0"/>
          <w:numId w:val="2"/>
        </w:numPr>
        <w:spacing w:after="60" w:before="0"/>
      </w:pPr>
      <w:r>
        <w:rPr>
          <w:sz w:val="21"/>
          <w:szCs w:val="21"/>
        </w:rPr>
        <w:t xml:space="preserve">Review all shared documents and provide timely feedback.</w:t>
      </w:r>
    </w:p>
    <w:p>
      <w:pPr>
        <w:pStyle w:val="ListParagraph"/>
        <w:numPr>
          <w:ilvl w:val="0"/>
          <w:numId w:val="2"/>
        </w:numPr>
        <w:spacing w:after="60" w:before="0"/>
      </w:pPr>
      <w:r>
        <w:rPr>
          <w:sz w:val="21"/>
          <w:szCs w:val="21"/>
        </w:rPr>
        <w:t xml:space="preserve">Complete the provider actions in this roadmap within the agreed timeframes.</w:t>
      </w:r>
    </w:p>
    <w:p>
      <w:pPr>
        <w:pStyle w:val="ListParagraph"/>
        <w:numPr>
          <w:ilvl w:val="0"/>
          <w:numId w:val="2"/>
        </w:numPr>
        <w:spacing w:after="60" w:before="0"/>
      </w:pPr>
      <w:r>
        <w:rPr>
          <w:sz w:val="21"/>
          <w:szCs w:val="21"/>
        </w:rPr>
        <w:t xml:space="preserve">Tell us promptly if any plans or circumstances change.</w:t>
      </w:r>
    </w:p>
    <w:p>
      <w:pPr>
        <w:spacing w:after="120" w:before="0"/>
      </w:pPr>
      <w:r>
        <w:rPr>
          <w:color w:val="000000"/>
          <w:sz w:val="22"/>
          <w:szCs w:val="22"/>
        </w:rPr>
        <w:t xml:space="preserve">We encourage initiative, but please note that Cura Compliance UK cannot take responsibility for actions taken without our guidance. Our success depends on working together towards a shared goal.</w:t>
      </w:r>
    </w:p>
    <w:p>
      <w:pPr>
        <w:spacing w:after="0" w:before="200"/>
        <w:jc w:val="center"/>
      </w:pPr>
      <w:r>
        <w:rPr>
          <w:b/>
          <w:bCs/>
          <w:color w:val="1B3A5C"/>
          <w:sz w:val="22"/>
          <w:szCs w:val="22"/>
        </w:rPr>
        <w:t xml:space="preserve">Cura Compliance UK  |  Your Partner in CQC Registration</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4"/>
      </w:pBdr>
      <w:spacing w:after="0" w:before="0"/>
      <w:jc w:val="center"/>
    </w:pPr>
    <w:r>
      <w:rPr>
        <w:color w:val="595959"/>
        <w:sz w:val="16"/>
        <w:szCs w:val="16"/>
      </w:rPr>
      <w:t xml:space="preserve">Cura Compliance UK · CQC Registration Roadmap · Care Homes (Residential &amp; Nursing)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2026-07-22T18:17:10.600Z</dcterms:created>
  <dcterms:modified xsi:type="dcterms:W3CDTF">2026-07-22T18:17:10.600Z</dcterms:modified>
</cp:coreProperties>
</file>

<file path=docProps/custom.xml><?xml version="1.0" encoding="utf-8"?>
<Properties xmlns="http://schemas.openxmlformats.org/officeDocument/2006/custom-properties" xmlns:vt="http://schemas.openxmlformats.org/officeDocument/2006/docPropsVTypes"/>
</file>