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b/>
          <w:bCs/>
          <w:color w:val="1B3A5C"/>
          <w:sz w:val="44"/>
          <w:szCs w:val="44"/>
        </w:rPr>
        <w:t xml:space="preserve">CQC REGISTRATION ROADMAP</w:t>
      </w:r>
    </w:p>
    <w:p>
      <w:pPr>
        <w:spacing w:after="40" w:before="0"/>
        <w:jc w:val="center"/>
      </w:pPr>
      <w:r>
        <w:rPr>
          <w:b/>
          <w:bCs/>
          <w:color w:val="2E7D8C"/>
          <w:sz w:val="28"/>
          <w:szCs w:val="28"/>
        </w:rPr>
        <w:t xml:space="preserve">Independent Ambulance Services</w:t>
      </w:r>
    </w:p>
    <w:p>
      <w:pPr>
        <w:spacing w:after="30" w:before="0"/>
        <w:jc w:val="center"/>
      </w:pPr>
      <w:r>
        <w:rPr>
          <w:color w:val="595959"/>
          <w:sz w:val="20"/>
          <w:szCs w:val="20"/>
        </w:rPr>
        <w:t xml:space="preserve">Health and Social Care Act 2008 · Health and Social Care Act 2008 (Regulated Activities) Regulations 2014</w:t>
      </w:r>
    </w:p>
    <w:p>
      <w:pPr>
        <w:spacing w:after="20" w:before="0"/>
        <w:jc w:val="center"/>
      </w:pPr>
      <w:r>
        <w:rPr>
          <w:i/>
          <w:iCs/>
          <w:color w:val="1B3A5C"/>
          <w:sz w:val="22"/>
          <w:szCs w:val="22"/>
        </w:rPr>
        <w:t xml:space="preserve">Supported by Cura Compliance UK</w:t>
      </w:r>
    </w:p>
    <w:p>
      <w:pPr>
        <w:spacing w:after="40" w:before="0"/>
        <w:jc w:val="center"/>
      </w:pPr>
      <w:r>
        <w:rPr>
          <w:color w:val="595959"/>
          <w:sz w:val="18"/>
          <w:szCs w:val="18"/>
        </w:rPr>
        <w:t xml:space="preserve">Prepared July 2026 · Aligned to current CQC guidance</w:t>
      </w:r>
    </w:p>
    <w:p>
      <w:pPr>
        <w:pBdr>
          <w:bottom w:val="single" w:color="2E7D8C" w:sz="8" w:space="1"/>
        </w:pBdr>
        <w:spacing w:after="160" w:before="80"/>
      </w:pPr>
      <w:r>
        <w:rPr>
          <w:sz w:val="4"/>
          <w:szCs w:val="4"/>
        </w:rPr>
        <w:t xml:space="preserve"/>
      </w:r>
    </w:p>
    <w:p>
      <w:pPr>
        <w:pStyle w:val="Heading1"/>
        <w:spacing w:after="120" w:before="60"/>
      </w:pPr>
      <w:r>
        <w:rPr>
          <w:b/>
          <w:bCs/>
          <w:color w:val="1B3A5C"/>
          <w:sz w:val="28"/>
          <w:szCs w:val="28"/>
        </w:rPr>
        <w:t xml:space="preserve">Overview</w:t>
      </w:r>
    </w:p>
    <w:p>
      <w:pPr>
        <w:spacing w:after="120" w:before="0"/>
      </w:pPr>
      <w:r>
        <w:rPr>
          <w:color w:val="000000"/>
          <w:sz w:val="22"/>
          <w:szCs w:val="22"/>
        </w:rPr>
        <w:t xml:space="preserve">Registering an independent ambulance service with the Care Quality Commission (CQC) turns on two things: getting the scope of registration right, and proving that vehicles, equipment, medicines and crews are genuinely ready for patient transport and treatment. CQC will test both at the interview stage.</w:t>
      </w:r>
    </w:p>
    <w:p>
      <w:pPr>
        <w:spacing w:after="120" w:before="0"/>
      </w:pPr>
      <w:r>
        <w:rPr>
          <w:color w:val="000000"/>
          <w:sz w:val="22"/>
          <w:szCs w:val="22"/>
        </w:rPr>
        <w:t xml:space="preserve">This roadmap sets out every action required, who leads it, and how Cura Compliance UK and the provider work together as partners to achieve a successful registration. It follows the two-stage structure Cura uses for all registrations: Stage 1, building and submitting the application; and Stage 2, support through the assessment and interviews until registration is granted.</w:t>
      </w:r>
    </w:p>
    <w:p>
      <w:pPr>
        <w:pStyle w:val="Heading2"/>
        <w:spacing w:after="100" w:before="120"/>
      </w:pPr>
      <w:r>
        <w:rPr>
          <w:b/>
          <w:bCs/>
          <w:color w:val="1B3A5C"/>
          <w:sz w:val="24"/>
          <w:szCs w:val="24"/>
        </w:rPr>
        <w:t xml:space="preserve">Three things that shape this registration</w:t>
      </w:r>
    </w:p>
    <w:tbl>
      <w:tblPr>
        <w:tblW w:type="dxa" w:w="9026"/>
        <w:tblBorders>
          <w:top w:val="single" w:color="2E7D8C" w:sz="4"/>
          <w:left w:val="single" w:color="2E7D8C" w:sz="18"/>
          <w:bottom w:val="single" w:color="2E7D8C" w:sz="4"/>
          <w:right w:val="single" w:color="2E7D8C" w:sz="4"/>
          <w:insideH w:val="single" w:color="auto" w:sz="4"/>
          <w:insideV w:val="single" w:color="auto" w:sz="4"/>
        </w:tblBorders>
      </w:tblPr>
      <w:tblGrid>
        <w:gridCol w:w="9026"/>
      </w:tblGrid>
      <w:tr>
        <w:tc>
          <w:tcPr>
            <w:tcW w:type="dxa" w:w="9026"/>
            <w:shd w:fill="F2F8F9" w:val="clear"/>
            <w:tcMar>
              <w:top w:type="dxa" w:w="140"/>
              <w:left w:type="dxa" w:w="200"/>
              <w:bottom w:type="dxa" w:w="140"/>
              <w:right w:type="dxa" w:w="200"/>
            </w:tcMar>
          </w:tcPr>
          <w:p>
            <w:pPr>
              <w:spacing w:after="80" w:before="20"/>
            </w:pPr>
            <w:r>
              <w:rPr>
                <w:b/>
                <w:bCs/>
                <w:color w:val="1B3A5C"/>
                <w:sz w:val="22"/>
                <w:szCs w:val="22"/>
              </w:rPr>
              <w:t xml:space="preserve">These three points shape every phase of this roadmap.</w:t>
            </w:r>
          </w:p>
          <w:p>
            <w:pPr>
              <w:spacing w:after="100" w:before="0"/>
            </w:pPr>
            <w:r>
              <w:rPr>
                <w:b/>
                <w:bCs/>
                <w:color w:val="2E7D8C"/>
                <w:sz w:val="21"/>
                <w:szCs w:val="21"/>
              </w:rPr>
              <w:t xml:space="preserve">1. Scope decides everything.  </w:t>
            </w:r>
            <w:r>
              <w:rPr>
                <w:sz w:val="21"/>
                <w:szCs w:val="21"/>
              </w:rPr>
              <w:t xml:space="preserve">Patient transport between locations is the regulated activity Transport services, triage and medical advice provided remotely; crews who assess and treat patients also need Treatment of disease, disorder or injury. Purely static event first-aid cover, with no patient transport, may fall outside CQC registration — the service model must be scoped precisely so you register for what you will actually do.</w:t>
            </w:r>
          </w:p>
          <w:p>
            <w:pPr>
              <w:spacing w:after="100" w:before="0"/>
            </w:pPr>
            <w:r>
              <w:rPr>
                <w:b/>
                <w:bCs/>
                <w:color w:val="2E7D8C"/>
                <w:sz w:val="21"/>
                <w:szCs w:val="21"/>
              </w:rPr>
              <w:t xml:space="preserve">2. Vehicles are your premises.  </w:t>
            </w:r>
            <w:r>
              <w:rPr>
                <w:sz w:val="21"/>
                <w:szCs w:val="21"/>
              </w:rPr>
              <w:t xml:space="preserve">CQC treats the fleet as the delivery environment: roadworthiness, appropriate insurance, equipment servicing, securing of stretchers and gases, deep-clean and between-patient decontamination schedules, and daily vehicle check records all need to exist and be evidenced.</w:t>
            </w:r>
          </w:p>
          <w:p>
            <w:pPr>
              <w:spacing w:after="100" w:before="0"/>
            </w:pPr>
            <w:r>
              <w:rPr>
                <w:b/>
                <w:bCs/>
                <w:color w:val="2E7D8C"/>
                <w:sz w:val="21"/>
                <w:szCs w:val="21"/>
              </w:rPr>
              <w:t xml:space="preserve">3. Medicines and driving competence carry the risk.  </w:t>
            </w:r>
            <w:r>
              <w:rPr>
                <w:sz w:val="21"/>
                <w:szCs w:val="21"/>
              </w:rPr>
              <w:t xml:space="preserve">Medicines carried on vehicles — including controlled drugs and medical gases — need storage, stock-control and authorisation arrangements, and emergency (blue-light) driving requires recognised driver training. Both are standard interview territory.</w:t>
            </w:r>
          </w:p>
        </w:tc>
      </w:tr>
    </w:tbl>
    <w:p>
      <w:pPr>
        <w:spacing w:after="80" w:before="0"/>
      </w:pPr>
      <w:r>
        <w:rPr>
          <w:sz w:val="8"/>
          <w:szCs w:val="8"/>
        </w:rPr>
        <w:t xml:space="preserve"/>
      </w:r>
    </w:p>
    <w:p>
      <w:pPr>
        <w:pStyle w:val="Heading2"/>
        <w:spacing w:after="100" w:before="120"/>
      </w:pPr>
      <w:r>
        <w:rPr>
          <w:b/>
          <w:bCs/>
          <w:color w:val="1B3A5C"/>
          <w:sz w:val="24"/>
          <w:szCs w:val="24"/>
        </w:rPr>
        <w:t xml:space="preserve">Responsibility key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7626"/>
      </w:tblGrid>
      <w:tr>
        <w:tc>
          <w:tcPr>
            <w:tcW w:type="dxa" w:w="14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Cura Compliance UK delivers this work.</w:t>
            </w:r>
          </w:p>
        </w:tc>
      </w:tr>
      <w:tr>
        <w:tc>
          <w:tcPr>
            <w:tcW w:type="dxa" w:w="14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Provider action required. Cura advises, guides and reviews throughout, but only the provider can complete it.</w:t>
            </w:r>
          </w:p>
        </w:tc>
      </w:tr>
      <w:tr>
        <w:tc>
          <w:tcPr>
            <w:tcW w:type="dxa" w:w="14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Joint action — delivered together by Cura Compliance UK and the provider.</w:t>
            </w:r>
          </w:p>
        </w:tc>
      </w:tr>
      <w:tr>
        <w:tc>
          <w:tcPr>
            <w:tcW w:type="dxa" w:w="1400"/>
            <w:tcBorders>
              <w:top w:val="single" w:color="BFBFBF" w:sz="1"/>
              <w:left w:val="single" w:color="BFBFBF" w:sz="1"/>
              <w:bottom w:val="single" w:color="BFBFBF" w:sz="1"/>
              <w:right w:val="single" w:color="BFBFBF" w:sz="1"/>
            </w:tcBorders>
            <w:shd w:fill="FBEFD3" w:val="clear"/>
            <w:tcMar>
              <w:top w:type="dxa" w:w="80"/>
              <w:left w:type="dxa" w:w="120"/>
              <w:bottom w:type="dxa" w:w="80"/>
              <w:right w:type="dxa" w:w="120"/>
            </w:tcMar>
            <w:vAlign w:val="center"/>
          </w:tcPr>
          <w:p>
            <w:pPr>
              <w:spacing w:after="0" w:before="0"/>
              <w:jc w:val="center"/>
            </w:pPr>
            <w:r>
              <w:rPr>
                <w:b/>
                <w:bCs/>
                <w:color w:val="1B3A5C"/>
                <w:sz w:val="20"/>
                <w:szCs w:val="20"/>
              </w:rPr>
              <w:t xml:space="preserve">Optional</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Available from Cura Compliance UK as a separate package — not included in the standard engagement.</w:t>
            </w:r>
          </w:p>
        </w:tc>
      </w:tr>
      <w:tr>
        <w:tc>
          <w:tcPr>
            <w:tcW w:type="dxa" w:w="1400"/>
            <w:tcBorders>
              <w:top w:val="single" w:color="BFBFBF" w:sz="1"/>
              <w:left w:val="single" w:color="BFBFBF" w:sz="1"/>
              <w:bottom w:val="single" w:color="BFBFBF" w:sz="1"/>
              <w:right w:val="single" w:color="BFBFBF" w:sz="1"/>
            </w:tcBorders>
            <w:shd w:fill="EDE7F2" w:val="clear"/>
            <w:tcMar>
              <w:top w:type="dxa" w:w="80"/>
              <w:left w:type="dxa" w:w="120"/>
              <w:bottom w:type="dxa" w:w="80"/>
              <w:right w:type="dxa" w:w="120"/>
            </w:tcMar>
            <w:vAlign w:val="center"/>
          </w:tcPr>
          <w:p>
            <w:pPr>
              <w:spacing w:after="0" w:before="0"/>
              <w:jc w:val="center"/>
            </w:pPr>
            <w:r>
              <w:rPr>
                <w:b/>
                <w:bCs/>
                <w:color w:val="1B3A5C"/>
                <w:sz w:val="20"/>
                <w:szCs w:val="20"/>
              </w:rPr>
              <w:t xml:space="preserve">CQC</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Carried out by the Care Quality Commission. Neither the provider nor Cura completes this step.</w:t>
            </w:r>
          </w:p>
        </w:tc>
      </w:tr>
    </w:tbl>
    <w:p>
      <w:pPr>
        <w:spacing w:after="80" w:before="0"/>
      </w:pPr>
      <w:r>
        <w:rPr>
          <w:sz w:val="8"/>
          <w:szCs w:val="8"/>
        </w:rPr>
        <w:t xml:space="preserve"/>
      </w:r>
    </w:p>
    <w:p>
      <w:pPr>
        <w:pStyle w:val="Heading1"/>
        <w:spacing w:after="120" w:before="60"/>
      </w:pPr>
      <w:r>
        <w:rPr>
          <w:b/>
          <w:bCs/>
          <w:color w:val="1B3A5C"/>
          <w:sz w:val="28"/>
          <w:szCs w:val="28"/>
        </w:rPr>
        <w:t xml:space="preserve">Stage 1 — Building and submitting the application</w:t>
      </w:r>
    </w:p>
    <w:p>
      <w:pPr>
        <w:spacing w:after="120" w:before="0"/>
      </w:pPr>
      <w:r>
        <w:rPr>
          <w:color w:val="000000"/>
          <w:sz w:val="22"/>
          <w:szCs w:val="22"/>
        </w:rPr>
        <w:t xml:space="preserve">Phases 1 to 5 cover everything needed to build a complete, compliant application and submit it to CQC.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1  —  FOUNDATIONS AND SERVICE DESIGN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1.1  Company set-up and Companies House match</w:t>
            </w:r>
          </w:p>
          <w:p>
            <w:pPr>
              <w:spacing w:after="0" w:before="0"/>
            </w:pPr>
            <w:r>
              <w:rPr>
                <w:sz w:val="20"/>
                <w:szCs w:val="20"/>
              </w:rPr>
              <w:t xml:space="preserve">Establish or confirm the limited company. The legal name and registered details must exactly match what is entered on the CQC application.</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1.2  Define the service model and scope of registration</w:t>
            </w:r>
          </w:p>
          <w:p>
            <w:pPr>
              <w:spacing w:after="0" w:before="0"/>
            </w:pPr>
            <w:r>
              <w:rPr>
                <w:sz w:val="20"/>
                <w:szCs w:val="20"/>
              </w:rPr>
              <w:t xml:space="preserve">Agree the work: patient transport services (PTS), urgent and emergency support to NHS trusts, high-dependency or bariatric transfers, mental health conveyance, event medical cover, repatriation. Cura maps each strand to the correct regulated activities and confirms what is in and out of scope.</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1.3  Business plan and financial viability</w:t>
            </w:r>
          </w:p>
          <w:p>
            <w:pPr>
              <w:spacing w:after="0" w:before="0"/>
            </w:pPr>
            <w:r>
              <w:rPr>
                <w:sz w:val="20"/>
                <w:szCs w:val="20"/>
              </w:rPr>
              <w:t xml:space="preserve">Cura builds the full business plan and financial projections. The provider supplies funding evidence, expected contracts or framework opportunities, costs and projections for years 1–2.</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1.4  Base premises</w:t>
            </w:r>
          </w:p>
          <w:p>
            <w:pPr>
              <w:spacing w:after="0" w:before="0"/>
            </w:pPr>
            <w:r>
              <w:rPr>
                <w:sz w:val="20"/>
                <w:szCs w:val="20"/>
              </w:rPr>
              <w:t xml:space="preserve">Secure a base for vehicle storage, cleaning, equipment and medicines storage, and records — with a lease that permits this use. The base is the registered location.</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2  —  PEOPLE AND MANAGEMENT</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2.1  Appoint the Registered Manager</w:t>
            </w:r>
          </w:p>
          <w:p>
            <w:pPr>
              <w:spacing w:after="0" w:before="0"/>
            </w:pPr>
            <w:r>
              <w:rPr>
                <w:sz w:val="20"/>
                <w:szCs w:val="20"/>
              </w:rPr>
              <w:t xml:space="preserve">Appoint a manager with credible ambulance-sector experience and the authority to run the service. The Registered Manager application, CQC-countersigned DBS, employment history and references must all be ready.</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2.2  Confirm the Nominated Individual</w:t>
            </w:r>
          </w:p>
          <w:p>
            <w:pPr>
              <w:spacing w:after="0" w:before="0"/>
            </w:pPr>
            <w:r>
              <w:rPr>
                <w:sz w:val="20"/>
                <w:szCs w:val="20"/>
              </w:rPr>
              <w:t xml:space="preserve">The Nominated Individual supervises the management of the regulated activity on behalf of the provider organisation and must be a director, manager or secretary of the company.</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2.3  Crew qualifications and registrations</w:t>
            </w:r>
          </w:p>
          <w:p>
            <w:pPr>
              <w:spacing w:after="0" w:before="0"/>
            </w:pPr>
            <w:r>
              <w:rPr>
                <w:sz w:val="20"/>
                <w:szCs w:val="20"/>
              </w:rPr>
              <w:t xml:space="preserve">Verify HCPC registration for paramedics and appropriate qualifications for technicians, emergency care assistants and first responders, matched to the acuity of patients the service will carry.</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2.4  Driver training and licences</w:t>
            </w:r>
          </w:p>
          <w:p>
            <w:pPr>
              <w:spacing w:after="0" w:before="0"/>
            </w:pPr>
            <w:r>
              <w:rPr>
                <w:sz w:val="20"/>
                <w:szCs w:val="20"/>
              </w:rPr>
              <w:t xml:space="preserve">Licence checks for all drivers, appropriate categories for vehicle weights, and recognised emergency response driving training (for example CERAD/Level 3) for any blue-light work — with certificates on file.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2.5  Training matrix and recruitment files</w:t>
            </w:r>
          </w:p>
          <w:p>
            <w:pPr>
              <w:spacing w:after="0" w:before="0"/>
            </w:pPr>
            <w:r>
              <w:rPr>
                <w:sz w:val="20"/>
                <w:szCs w:val="20"/>
              </w:rPr>
              <w:t xml:space="preserve">Safer recruitment (Schedule 3) files for all staff, plus a training matrix: BLS/ILS, safeguarding adults and children, moving and handling, IPC, conflict resolution and mental capacity. Cura defines the matrix; the provider arranges delivery.</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3  —  VEHICLES, EQUIPMENT AND MEDICINES</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3.1  Vehicle readiness</w:t>
            </w:r>
          </w:p>
          <w:p>
            <w:pPr>
              <w:spacing w:after="0" w:before="0"/>
            </w:pPr>
            <w:r>
              <w:rPr>
                <w:sz w:val="20"/>
                <w:szCs w:val="20"/>
              </w:rPr>
              <w:t xml:space="preserve">MOT, servicing schedule, appropriate insurance for patient transport, CQC-compliant livery where used, daily vehicle inspection sheets, and secured stretcher, wheelchair and oxygen fittings.</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3.2  Equipment servicing and consumables</w:t>
            </w:r>
          </w:p>
          <w:p>
            <w:pPr>
              <w:spacing w:after="0" w:before="0"/>
            </w:pPr>
            <w:r>
              <w:rPr>
                <w:sz w:val="20"/>
                <w:szCs w:val="20"/>
              </w:rPr>
              <w:t xml:space="preserve">Defibrillators, suction, carry chairs and monitoring equipment serviced and calibrated; consumables stock-controlled with expiry checks; equipment inventories per vehicle.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3.3  Medical gases</w:t>
            </w:r>
          </w:p>
          <w:p>
            <w:pPr>
              <w:spacing w:after="0" w:before="0"/>
            </w:pPr>
            <w:r>
              <w:rPr>
                <w:sz w:val="20"/>
                <w:szCs w:val="20"/>
              </w:rPr>
              <w:t xml:space="preserve">Safe storage and transport of oxygen and Entonox — secured cylinders, ventilation, signage, stock rotation and manual handling arrangements at the base and on vehicles.</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3.4  Medicines management</w:t>
            </w:r>
          </w:p>
          <w:p>
            <w:pPr>
              <w:spacing w:after="0" w:before="0"/>
            </w:pPr>
            <w:r>
              <w:rPr>
                <w:sz w:val="20"/>
                <w:szCs w:val="20"/>
              </w:rPr>
              <w:t xml:space="preserve">Medicines appropriate to crew skill level, storage and security on vehicles and at base, stock control and audit, and — where controlled drugs are carried — the required Home Office licensing and CD governance. Cura drafts the medicines policy suite; the provider implements it.</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3.5  Decontamination and IPC</w:t>
            </w:r>
          </w:p>
          <w:p>
            <w:pPr>
              <w:spacing w:after="0" w:before="0"/>
            </w:pPr>
            <w:r>
              <w:rPr>
                <w:sz w:val="20"/>
                <w:szCs w:val="20"/>
              </w:rPr>
              <w:t xml:space="preserve">Between-patient cleaning, scheduled deep cleans with records, clinical waste contract, PPE stocks, and an IPC policy aligned to national ambulance guidance.</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4  —  DOCUMENTATION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4.1  Statement of Purpose</w:t>
            </w:r>
          </w:p>
          <w:p>
            <w:pPr>
              <w:spacing w:after="0" w:before="0"/>
            </w:pPr>
            <w:r>
              <w:rPr>
                <w:sz w:val="20"/>
                <w:szCs w:val="20"/>
              </w:rPr>
              <w:t xml:space="preserve">Cura writes the Statement of Purpose covering aims and objectives, the regulated activities, service types (PTS, HDU, urgent), service user bands, the base location and management structure.</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4.2  Policies and procedures</w:t>
            </w:r>
          </w:p>
          <w:p>
            <w:pPr>
              <w:spacing w:after="0" w:before="0"/>
            </w:pPr>
            <w:r>
              <w:rPr>
                <w:sz w:val="20"/>
                <w:szCs w:val="20"/>
              </w:rPr>
              <w:t xml:space="preserve">Fully tailored suite: safeguarding, IPC and decontamination, medicines and medical gases, vehicle daily checks and maintenance, driving standards and RTC procedure, patient handling, bariatric transfers, mental health conveyance and restraint, deteriorating patient, lone working, complaints, duty of candour, business continuity, and more. Full list available on our website.</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4.3  Clinical governance framework</w:t>
            </w:r>
          </w:p>
          <w:p>
            <w:pPr>
              <w:spacing w:after="0" w:before="0"/>
            </w:pPr>
            <w:r>
              <w:rPr>
                <w:sz w:val="20"/>
                <w:szCs w:val="20"/>
              </w:rPr>
              <w:t xml:space="preserve">Clinical audit programme, incident and significant event reporting, safety alert handling, clinical supervision, and patient record (ePRF or paper PRF) arrangements with information governance and ICO registration.</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4.4  Shared document review</w:t>
            </w:r>
          </w:p>
          <w:p>
            <w:pPr>
              <w:spacing w:after="0" w:before="0"/>
            </w:pPr>
            <w:r>
              <w:rPr>
                <w:sz w:val="20"/>
                <w:szCs w:val="20"/>
              </w:rPr>
              <w:t xml:space="preserve">Cura uploads each chapter to a shared Google Drive folder as it is completed; the provider reviews and confirms that every document accurately reflects the service.</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5  —  APPLICATION SUBMISSION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5.1  Provider application</w:t>
            </w:r>
          </w:p>
          <w:p>
            <w:pPr>
              <w:spacing w:after="0" w:before="0"/>
            </w:pPr>
            <w:r>
              <w:rPr>
                <w:sz w:val="20"/>
                <w:szCs w:val="20"/>
              </w:rPr>
              <w:t xml:space="preserve">Cura completes the new provider application — regulated activities, the base location, service types and service user bands — from the provider’s information, and the provider reviews it before submission.</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5.2  Registered Manager application</w:t>
            </w:r>
          </w:p>
          <w:p>
            <w:pPr>
              <w:spacing w:after="0" w:before="0"/>
            </w:pPr>
            <w:r>
              <w:rPr>
                <w:sz w:val="20"/>
                <w:szCs w:val="20"/>
              </w:rPr>
              <w:t xml:space="preserve">The Registered Manager’s own application, submitted alongside the provider application. Cura completes the form; the manager supplies personal details, employment history, references and GP details, and completes the CQC-countersigned DBS.</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5.3  Supporting evidence</w:t>
            </w:r>
          </w:p>
          <w:p>
            <w:pPr>
              <w:spacing w:after="0" w:before="0"/>
            </w:pPr>
            <w:r>
              <w:rPr>
                <w:sz w:val="20"/>
                <w:szCs w:val="20"/>
              </w:rPr>
              <w:t xml:space="preserve">Statement of Purpose, financial viability evidence, insurance confirmation and any requested documents prepared and attached in the required format.</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5.4  Final review and submission</w:t>
            </w:r>
          </w:p>
          <w:p>
            <w:pPr>
              <w:spacing w:after="0" w:before="0"/>
            </w:pPr>
            <w:r>
              <w:rPr>
                <w:sz w:val="20"/>
                <w:szCs w:val="20"/>
              </w:rPr>
              <w:t xml:space="preserve">Cura conducts a full consistency and compliance review of every form and document before submitting the complete application to CQC.</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bl>
    <w:p>
      <w:pPr>
        <w:spacing w:after="80" w:before="0"/>
      </w:pPr>
      <w:r>
        <w:rPr>
          <w:sz w:val="8"/>
          <w:szCs w:val="8"/>
        </w:rPr>
        <w:t xml:space="preserve"/>
      </w:r>
    </w:p>
    <w:p>
      <w:pPr>
        <w:pStyle w:val="Heading1"/>
        <w:spacing w:after="120" w:before="60"/>
      </w:pPr>
      <w:r>
        <w:rPr>
          <w:b/>
          <w:bCs/>
          <w:color w:val="1B3A5C"/>
          <w:sz w:val="28"/>
          <w:szCs w:val="28"/>
        </w:rPr>
        <w:t xml:space="preserve">Stage 2 — Support through to successful registration</w:t>
      </w:r>
    </w:p>
    <w:p>
      <w:pPr>
        <w:spacing w:after="120" w:before="0"/>
      </w:pPr>
      <w:r>
        <w:rPr>
          <w:color w:val="000000"/>
          <w:sz w:val="22"/>
          <w:szCs w:val="22"/>
        </w:rPr>
        <w:t xml:space="preserve">Phase 6 covers the assessment, the interviews, and the decision. This is where Cura’s preparation and advice are most valuable.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6  —  ASSESSMENT, INTERVIEWS AND DECISION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6.1  Application adjustments and resubmissions</w:t>
            </w:r>
          </w:p>
          <w:p>
            <w:pPr>
              <w:spacing w:after="0" w:before="0"/>
            </w:pPr>
            <w:r>
              <w:rPr>
                <w:sz w:val="20"/>
                <w:szCs w:val="20"/>
              </w:rPr>
              <w:t xml:space="preserve">Under CQC’s stricter acceptance regime, applications can be rejected for any legal error. Cura expects this and handles all required adjustments and resubmissions until the application is accepted by a Registration Inspector.</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6.2  Ongoing follow-up</w:t>
            </w:r>
          </w:p>
          <w:p>
            <w:pPr>
              <w:spacing w:after="0" w:before="0"/>
            </w:pPr>
            <w:r>
              <w:rPr>
                <w:sz w:val="20"/>
                <w:szCs w:val="20"/>
              </w:rPr>
              <w:t xml:space="preserve">We follow up with CQC on your behalf throughout the assessment. If the inspector requests further information, we manage the response.</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6.3  Mock interviews</w:t>
            </w:r>
          </w:p>
          <w:p>
            <w:pPr>
              <w:spacing w:after="0" w:before="0"/>
            </w:pPr>
            <w:r>
              <w:rPr>
                <w:sz w:val="20"/>
                <w:szCs w:val="20"/>
              </w:rPr>
              <w:t xml:space="preserve">Mock fitness interviews for the Registered Manager and Nominated Individual, with detailed, critical feedback on scope of registration, vehicles, medicines, safeguarding and the fundamental standards.</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6.4  Registration interview</w:t>
            </w:r>
          </w:p>
          <w:p>
            <w:pPr>
              <w:spacing w:after="0" w:before="0"/>
            </w:pPr>
            <w:r>
              <w:rPr>
                <w:sz w:val="20"/>
                <w:szCs w:val="20"/>
              </w:rPr>
              <w:t xml:space="preserve">CQC interviews the Registered Manager (and may speak to the Nominated Individual). Expect questions on vehicle readiness, medicines and gases, crew competence and how quality is monitored.</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6.5  Registration decision</w:t>
            </w:r>
          </w:p>
          <w:p>
            <w:pPr>
              <w:spacing w:after="0" w:before="0"/>
            </w:pPr>
            <w:r>
              <w:rPr>
                <w:sz w:val="20"/>
                <w:szCs w:val="20"/>
              </w:rPr>
              <w:t xml:space="preserve">CQC issues its decision and the certificate of registration with any conditions. Patient transport under the regulated activities may only begin once registration is granted.</w:t>
            </w:r>
          </w:p>
        </w:tc>
        <w:tc>
          <w:tcPr>
            <w:tcW w:type="dxa" w:w="1600"/>
            <w:tcBorders>
              <w:top w:val="single" w:color="BFBFBF" w:sz="1"/>
              <w:left w:val="single" w:color="BFBFBF" w:sz="1"/>
              <w:bottom w:val="single" w:color="BFBFBF" w:sz="1"/>
              <w:right w:val="single" w:color="BFBFBF" w:sz="1"/>
            </w:tcBorders>
            <w:shd w:fill="EDE7F2" w:val="clear"/>
            <w:tcMar>
              <w:top w:type="dxa" w:w="80"/>
              <w:left w:type="dxa" w:w="120"/>
              <w:bottom w:type="dxa" w:w="80"/>
              <w:right w:type="dxa" w:w="120"/>
            </w:tcMar>
            <w:vAlign w:val="center"/>
          </w:tcPr>
          <w:p>
            <w:pPr>
              <w:spacing w:after="0" w:before="0"/>
              <w:jc w:val="center"/>
            </w:pPr>
            <w:r>
              <w:rPr>
                <w:b/>
                <w:bCs/>
                <w:color w:val="1B3A5C"/>
                <w:sz w:val="20"/>
                <w:szCs w:val="20"/>
              </w:rPr>
              <w:t xml:space="preserve">CQC</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6.6  Post-registration readiness</w:t>
            </w:r>
          </w:p>
          <w:p>
            <w:pPr>
              <w:spacing w:after="0" w:before="0"/>
            </w:pPr>
            <w:r>
              <w:rPr>
                <w:sz w:val="20"/>
                <w:szCs w:val="20"/>
              </w:rPr>
              <w:t xml:space="preserve">Statutory notifications, vehicle and equipment audit cycles, and preparation for the first inspection — plus evidencing registration to NHS trusts and framework tenders.</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80" w:before="0"/>
      </w:pPr>
      <w:r>
        <w:rPr>
          <w:sz w:val="8"/>
          <w:szCs w:val="8"/>
        </w:rPr>
        <w:t xml:space="preserve"/>
      </w:r>
    </w:p>
    <w:p>
      <w:pPr>
        <w:pStyle w:val="Heading1"/>
        <w:spacing w:after="120" w:before="60"/>
      </w:pPr>
      <w:r>
        <w:rPr>
          <w:b/>
          <w:bCs/>
          <w:color w:val="1B3A5C"/>
          <w:sz w:val="28"/>
          <w:szCs w:val="28"/>
        </w:rPr>
        <w:t xml:space="preserve">Critical path and indicative timing</w:t>
      </w:r>
    </w:p>
    <w:p>
      <w:pPr>
        <w:pStyle w:val="ListParagraph"/>
        <w:numPr>
          <w:ilvl w:val="0"/>
          <w:numId w:val="2"/>
        </w:numPr>
        <w:spacing w:after="60" w:before="0"/>
      </w:pPr>
      <w:r>
        <w:rPr>
          <w:sz w:val="21"/>
          <w:szCs w:val="21"/>
        </w:rPr>
        <w:t xml:space="preserve">Fix the scope of registration first. Whether the service is PTS-only or includes treatment changes the regulated activities, the crew requirements and the medicines position.</w:t>
      </w:r>
    </w:p>
    <w:p>
      <w:pPr>
        <w:pStyle w:val="ListParagraph"/>
        <w:numPr>
          <w:ilvl w:val="0"/>
          <w:numId w:val="2"/>
        </w:numPr>
        <w:spacing w:after="60" w:before="0"/>
      </w:pPr>
      <w:r>
        <w:rPr>
          <w:sz w:val="21"/>
          <w:szCs w:val="21"/>
        </w:rPr>
        <w:t xml:space="preserve">Order and equip vehicles early. Vehicle conversion, equipment servicing and insurance for patient transport have the longest lead times.</w:t>
      </w:r>
    </w:p>
    <w:p>
      <w:pPr>
        <w:pStyle w:val="ListParagraph"/>
        <w:numPr>
          <w:ilvl w:val="0"/>
          <w:numId w:val="2"/>
        </w:numPr>
        <w:spacing w:after="60" w:before="0"/>
      </w:pPr>
      <w:r>
        <w:rPr>
          <w:sz w:val="21"/>
          <w:szCs w:val="21"/>
        </w:rPr>
        <w:t xml:space="preserve">Book driver training in advance. Recognised emergency driving courses have waiting lists; blue-light work cannot be offered without them.</w:t>
      </w:r>
    </w:p>
    <w:p>
      <w:pPr>
        <w:pStyle w:val="ListParagraph"/>
        <w:numPr>
          <w:ilvl w:val="0"/>
          <w:numId w:val="2"/>
        </w:numPr>
        <w:spacing w:after="60" w:before="0"/>
      </w:pPr>
      <w:r>
        <w:rPr>
          <w:sz w:val="21"/>
          <w:szCs w:val="21"/>
        </w:rPr>
        <w:t xml:space="preserve">Allow roughly 10–12 weeks from a clean submission to decision; rejections for legal errors restart the clock, which is why Stage 1 review matters.</w:t>
      </w:r>
    </w:p>
    <w:p>
      <w:pPr>
        <w:pStyle w:val="Heading1"/>
        <w:spacing w:after="120" w:before="60"/>
      </w:pPr>
      <w:r>
        <w:rPr>
          <w:b/>
          <w:bCs/>
          <w:color w:val="1B3A5C"/>
          <w:sz w:val="28"/>
          <w:szCs w:val="28"/>
        </w:rPr>
        <w:t xml:space="preserve">Required documents checklist</w:t>
      </w:r>
    </w:p>
    <w:p>
      <w:pPr>
        <w:spacing w:after="120" w:before="0"/>
      </w:pPr>
      <w:r>
        <w:rPr>
          <w:color w:val="000000"/>
          <w:sz w:val="22"/>
          <w:szCs w:val="22"/>
        </w:rPr>
        <w:t xml:space="preserve">Submitted with the application:</w:t>
      </w:r>
    </w:p>
    <w:p>
      <w:pPr>
        <w:pStyle w:val="ListParagraph"/>
        <w:numPr>
          <w:ilvl w:val="0"/>
          <w:numId w:val="2"/>
        </w:numPr>
        <w:spacing w:after="60" w:before="0"/>
      </w:pPr>
      <w:r>
        <w:rPr>
          <w:sz w:val="21"/>
          <w:szCs w:val="21"/>
        </w:rPr>
        <w:t xml:space="preserve">Statement of Purpose</w:t>
      </w:r>
    </w:p>
    <w:p>
      <w:pPr>
        <w:pStyle w:val="ListParagraph"/>
        <w:numPr>
          <w:ilvl w:val="0"/>
          <w:numId w:val="2"/>
        </w:numPr>
        <w:spacing w:after="60" w:before="0"/>
      </w:pPr>
      <w:r>
        <w:rPr>
          <w:sz w:val="21"/>
          <w:szCs w:val="21"/>
        </w:rPr>
        <w:t xml:space="preserve">Provider application (regulated activities, base location, service user bands)</w:t>
      </w:r>
    </w:p>
    <w:p>
      <w:pPr>
        <w:pStyle w:val="ListParagraph"/>
        <w:numPr>
          <w:ilvl w:val="0"/>
          <w:numId w:val="2"/>
        </w:numPr>
        <w:spacing w:after="60" w:before="0"/>
      </w:pPr>
      <w:r>
        <w:rPr>
          <w:sz w:val="21"/>
          <w:szCs w:val="21"/>
        </w:rPr>
        <w:t xml:space="preserve">Registered Manager application with CQC-countersigned DBS</w:t>
      </w:r>
    </w:p>
    <w:p>
      <w:pPr>
        <w:pStyle w:val="ListParagraph"/>
        <w:numPr>
          <w:ilvl w:val="0"/>
          <w:numId w:val="2"/>
        </w:numPr>
        <w:spacing w:after="60" w:before="0"/>
      </w:pPr>
      <w:r>
        <w:rPr>
          <w:sz w:val="21"/>
          <w:szCs w:val="21"/>
        </w:rPr>
        <w:t xml:space="preserve">Business plan and financial viability evidence</w:t>
      </w:r>
    </w:p>
    <w:p>
      <w:pPr>
        <w:pStyle w:val="ListParagraph"/>
        <w:numPr>
          <w:ilvl w:val="0"/>
          <w:numId w:val="2"/>
        </w:numPr>
        <w:spacing w:after="60" w:before="0"/>
      </w:pPr>
      <w:r>
        <w:rPr>
          <w:sz w:val="21"/>
          <w:szCs w:val="21"/>
        </w:rPr>
        <w:t xml:space="preserve">Insurance confirmation (vehicles for patient transport, employer’s and public liability)</w:t>
      </w:r>
    </w:p>
    <w:p>
      <w:pPr>
        <w:pStyle w:val="ListParagraph"/>
        <w:numPr>
          <w:ilvl w:val="0"/>
          <w:numId w:val="2"/>
        </w:numPr>
        <w:spacing w:after="60" w:before="0"/>
      </w:pPr>
      <w:r>
        <w:rPr>
          <w:sz w:val="21"/>
          <w:szCs w:val="21"/>
        </w:rPr>
        <w:t xml:space="preserve">ICO registration</w:t>
      </w:r>
    </w:p>
    <w:p>
      <w:pPr>
        <w:spacing w:after="120" w:before="0"/>
      </w:pPr>
      <w:r>
        <w:rPr>
          <w:color w:val="000000"/>
          <w:sz w:val="22"/>
          <w:szCs w:val="22"/>
        </w:rPr>
        <w:t xml:space="preserve">Ready at or before the interview stage (in addition to the above):</w:t>
      </w:r>
    </w:p>
    <w:p>
      <w:pPr>
        <w:pStyle w:val="ListParagraph"/>
        <w:numPr>
          <w:ilvl w:val="0"/>
          <w:numId w:val="2"/>
        </w:numPr>
        <w:spacing w:after="60" w:before="0"/>
      </w:pPr>
      <w:r>
        <w:rPr>
          <w:sz w:val="21"/>
          <w:szCs w:val="21"/>
        </w:rPr>
        <w:t xml:space="preserve">Full policy and procedure suite, including medicines, gases and decontamination</w:t>
      </w:r>
    </w:p>
    <w:p>
      <w:pPr>
        <w:pStyle w:val="ListParagraph"/>
        <w:numPr>
          <w:ilvl w:val="0"/>
          <w:numId w:val="2"/>
        </w:numPr>
        <w:spacing w:after="60" w:before="0"/>
      </w:pPr>
      <w:r>
        <w:rPr>
          <w:sz w:val="21"/>
          <w:szCs w:val="21"/>
        </w:rPr>
        <w:t xml:space="preserve">Vehicle files — MOT, servicing, insurance, daily check sheets, equipment inventories</w:t>
      </w:r>
    </w:p>
    <w:p>
      <w:pPr>
        <w:pStyle w:val="ListParagraph"/>
        <w:numPr>
          <w:ilvl w:val="0"/>
          <w:numId w:val="2"/>
        </w:numPr>
        <w:spacing w:after="60" w:before="0"/>
      </w:pPr>
      <w:r>
        <w:rPr>
          <w:sz w:val="21"/>
          <w:szCs w:val="21"/>
        </w:rPr>
        <w:t xml:space="preserve">Equipment service and calibration certificates</w:t>
      </w:r>
    </w:p>
    <w:p>
      <w:pPr>
        <w:pStyle w:val="ListParagraph"/>
        <w:numPr>
          <w:ilvl w:val="0"/>
          <w:numId w:val="2"/>
        </w:numPr>
        <w:spacing w:after="60" w:before="0"/>
      </w:pPr>
      <w:r>
        <w:rPr>
          <w:sz w:val="21"/>
          <w:szCs w:val="21"/>
        </w:rPr>
        <w:t xml:space="preserve">Medicines and controlled drugs governance (with Home Office licence where CDs are carried)</w:t>
      </w:r>
    </w:p>
    <w:p>
      <w:pPr>
        <w:pStyle w:val="ListParagraph"/>
        <w:numPr>
          <w:ilvl w:val="0"/>
          <w:numId w:val="2"/>
        </w:numPr>
        <w:spacing w:after="60" w:before="0"/>
      </w:pPr>
      <w:r>
        <w:rPr>
          <w:sz w:val="21"/>
          <w:szCs w:val="21"/>
        </w:rPr>
        <w:t xml:space="preserve">Crew files — HCPC/qualification checks, driver licences and emergency driving certificates</w:t>
      </w:r>
    </w:p>
    <w:p>
      <w:pPr>
        <w:pStyle w:val="ListParagraph"/>
        <w:numPr>
          <w:ilvl w:val="0"/>
          <w:numId w:val="2"/>
        </w:numPr>
        <w:spacing w:after="60" w:before="0"/>
      </w:pPr>
      <w:r>
        <w:rPr>
          <w:sz w:val="21"/>
          <w:szCs w:val="21"/>
        </w:rPr>
        <w:t xml:space="preserve">Training matrix and safer-recruitment (Schedule 3) files</w:t>
      </w:r>
    </w:p>
    <w:p>
      <w:pPr>
        <w:pStyle w:val="ListParagraph"/>
        <w:numPr>
          <w:ilvl w:val="0"/>
          <w:numId w:val="2"/>
        </w:numPr>
        <w:spacing w:after="60" w:before="0"/>
      </w:pPr>
      <w:r>
        <w:rPr>
          <w:sz w:val="21"/>
          <w:szCs w:val="21"/>
        </w:rPr>
        <w:t xml:space="preserve">Deep-clean and decontamination records and clinical waste contract</w:t>
      </w:r>
    </w:p>
    <w:p>
      <w:pPr>
        <w:pStyle w:val="ListParagraph"/>
        <w:numPr>
          <w:ilvl w:val="0"/>
          <w:numId w:val="2"/>
        </w:numPr>
        <w:spacing w:after="60" w:before="0"/>
      </w:pPr>
      <w:r>
        <w:rPr>
          <w:sz w:val="21"/>
          <w:szCs w:val="21"/>
        </w:rPr>
        <w:t xml:space="preserve">Patient report form (PRF/ePRF) system with information governance arrangements</w:t>
      </w:r>
    </w:p>
    <w:p>
      <w:pPr>
        <w:pStyle w:val="Heading1"/>
        <w:spacing w:after="120" w:before="60"/>
      </w:pPr>
      <w:r>
        <w:rPr>
          <w:b/>
          <w:bCs/>
          <w:color w:val="1B3A5C"/>
          <w:sz w:val="28"/>
          <w:szCs w:val="28"/>
        </w:rPr>
        <w:t xml:space="preserve">Payment structure</w:t>
      </w:r>
    </w:p>
    <w:p>
      <w:pPr>
        <w:spacing w:after="120" w:before="0"/>
      </w:pPr>
      <w:r>
        <w:rPr>
          <w:color w:val="000000"/>
          <w:sz w:val="22"/>
          <w:szCs w:val="22"/>
        </w:rPr>
        <w:t xml:space="preserve">Cura works in two stages, mirroring its established approach:</w:t>
      </w:r>
    </w:p>
    <w:p>
      <w:pPr>
        <w:pStyle w:val="ListParagraph"/>
        <w:numPr>
          <w:ilvl w:val="0"/>
          <w:numId w:val="2"/>
        </w:numPr>
        <w:spacing w:after="60" w:before="0"/>
      </w:pPr>
      <w:r>
        <w:rPr>
          <w:sz w:val="21"/>
          <w:szCs w:val="21"/>
        </w:rPr>
        <w:t xml:space="preserve">Stage 1 — Documentation and submission: the business plan, Statement of Purpose, the full policy suite and clinical governance framework, and completion and submission of the provider and Registered Manager applications.</w:t>
      </w:r>
    </w:p>
    <w:p>
      <w:pPr>
        <w:pStyle w:val="ListParagraph"/>
        <w:numPr>
          <w:ilvl w:val="0"/>
          <w:numId w:val="2"/>
        </w:numPr>
        <w:spacing w:after="60" w:before="0"/>
      </w:pPr>
      <w:r>
        <w:rPr>
          <w:sz w:val="21"/>
          <w:szCs w:val="21"/>
        </w:rPr>
        <w:t xml:space="preserve">Stage 2 — Support through to successful registration: application adjustments, ongoing follow-up with CQC, mock interviews, and preparation for the registration assessment and interviews until registration is granted.</w:t>
      </w:r>
    </w:p>
    <w:p>
      <w:pPr>
        <w:spacing w:after="120" w:before="0"/>
      </w:pPr>
      <w:r>
        <w:rPr>
          <w:color w:val="000000"/>
          <w:sz w:val="22"/>
          <w:szCs w:val="22"/>
        </w:rPr>
        <w:t xml:space="preserve">Stage 1 is agreed at the start of the engagement. Stage 2 is taken close to the interview stage. If registration is refused following the interview stage, the Stage 2 fee is refunded — Cura’s guaranteed-success approach. This guarantee assumes the provider has completed their own actions in line with this roadmap.</w:t>
      </w:r>
    </w:p>
    <w:p>
      <w:pPr>
        <w:spacing w:after="120" w:before="0"/>
      </w:pPr>
      <w:r>
        <w:rPr>
          <w:color w:val="000000"/>
          <w:sz w:val="22"/>
          <w:szCs w:val="22"/>
        </w:rPr>
        <w:t xml:space="preserve">CQC does not charge an application fee. An annual fee becomes payable to CQC once registration is granted, and is paid by the provider directly to CQC.</w:t>
      </w:r>
    </w:p>
    <w:p>
      <w:pPr>
        <w:pStyle w:val="Heading1"/>
        <w:spacing w:after="120" w:before="60"/>
      </w:pPr>
      <w:r>
        <w:rPr>
          <w:b/>
          <w:bCs/>
          <w:color w:val="1B3A5C"/>
          <w:sz w:val="28"/>
          <w:szCs w:val="28"/>
        </w:rPr>
        <w:t xml:space="preserve">Ongoing support and communication</w:t>
      </w:r>
    </w:p>
    <w:p>
      <w:pPr>
        <w:pStyle w:val="ListParagraph"/>
        <w:numPr>
          <w:ilvl w:val="0"/>
          <w:numId w:val="2"/>
        </w:numPr>
        <w:spacing w:after="60" w:before="0"/>
      </w:pPr>
      <w:r>
        <w:rPr>
          <w:sz w:val="21"/>
          <w:szCs w:val="21"/>
        </w:rPr>
        <w:t xml:space="preserve">Access to our business WhatsApp for quick queries and updates.</w:t>
      </w:r>
    </w:p>
    <w:p>
      <w:pPr>
        <w:pStyle w:val="ListParagraph"/>
        <w:numPr>
          <w:ilvl w:val="0"/>
          <w:numId w:val="2"/>
        </w:numPr>
        <w:spacing w:after="60" w:before="0"/>
      </w:pPr>
      <w:r>
        <w:rPr>
          <w:sz w:val="21"/>
          <w:szCs w:val="21"/>
        </w:rPr>
        <w:t xml:space="preserve">Two dedicated consultants available throughout the process.</w:t>
      </w:r>
    </w:p>
    <w:p>
      <w:pPr>
        <w:pStyle w:val="ListParagraph"/>
        <w:numPr>
          <w:ilvl w:val="0"/>
          <w:numId w:val="2"/>
        </w:numPr>
        <w:spacing w:after="60" w:before="0"/>
      </w:pPr>
      <w:r>
        <w:rPr>
          <w:sz w:val="21"/>
          <w:szCs w:val="21"/>
        </w:rPr>
        <w:t xml:space="preserve">Office consultation meetings arranged as needed.</w:t>
      </w:r>
    </w:p>
    <w:p>
      <w:pPr>
        <w:pStyle w:val="ListParagraph"/>
        <w:numPr>
          <w:ilvl w:val="0"/>
          <w:numId w:val="2"/>
        </w:numPr>
        <w:spacing w:after="60" w:before="0"/>
      </w:pPr>
      <w:r>
        <w:rPr>
          <w:sz w:val="21"/>
          <w:szCs w:val="21"/>
        </w:rPr>
        <w:t xml:space="preserve">Guidance, mentoring sessions and advisory consultations at each phase.</w:t>
      </w:r>
    </w:p>
    <w:p>
      <w:pPr>
        <w:spacing w:after="120" w:before="0"/>
      </w:pPr>
      <w:r>
        <w:rPr>
          <w:color w:val="000000"/>
          <w:sz w:val="22"/>
          <w:szCs w:val="22"/>
        </w:rPr>
        <w:t xml:space="preserve">Website development: we also offer a separate website development service through a dedicated developer. Please speak with us for details.</w:t>
      </w:r>
    </w:p>
    <w:p>
      <w:pPr>
        <w:pStyle w:val="Heading1"/>
        <w:spacing w:after="120" w:before="60"/>
      </w:pPr>
      <w:r>
        <w:rPr>
          <w:b/>
          <w:bCs/>
          <w:color w:val="1B3A5C"/>
          <w:sz w:val="28"/>
          <w:szCs w:val="28"/>
        </w:rPr>
        <w:t xml:space="preserve">Our partnership approach</w:t>
      </w:r>
    </w:p>
    <w:p>
      <w:pPr>
        <w:spacing w:after="120" w:before="0"/>
      </w:pPr>
      <w:r>
        <w:rPr>
          <w:color w:val="000000"/>
          <w:sz w:val="22"/>
          <w:szCs w:val="22"/>
        </w:rPr>
        <w:t xml:space="preserve">This process is built on partnership. We commit to expert guidance, thorough documentation and hands-on support at every stage. Because CQC expects the fleet, medicines and crews to be genuinely ready at the interview stage, the provider’s timely completion of vehicle, equipment and staffing actions is essential to the timeline and to a successful outcome. In return, we ask our clients to:</w:t>
      </w:r>
    </w:p>
    <w:p>
      <w:pPr>
        <w:pStyle w:val="ListParagraph"/>
        <w:numPr>
          <w:ilvl w:val="0"/>
          <w:numId w:val="2"/>
        </w:numPr>
        <w:spacing w:after="60" w:before="0"/>
      </w:pPr>
      <w:r>
        <w:rPr>
          <w:sz w:val="21"/>
          <w:szCs w:val="21"/>
        </w:rPr>
        <w:t xml:space="preserve">Follow our recommendations and guidance throughout the process.</w:t>
      </w:r>
    </w:p>
    <w:p>
      <w:pPr>
        <w:pStyle w:val="ListParagraph"/>
        <w:numPr>
          <w:ilvl w:val="0"/>
          <w:numId w:val="2"/>
        </w:numPr>
        <w:spacing w:after="60" w:before="0"/>
      </w:pPr>
      <w:r>
        <w:rPr>
          <w:sz w:val="21"/>
          <w:szCs w:val="21"/>
        </w:rPr>
        <w:t xml:space="preserve">Review all shared documents and provide timely feedback.</w:t>
      </w:r>
    </w:p>
    <w:p>
      <w:pPr>
        <w:pStyle w:val="ListParagraph"/>
        <w:numPr>
          <w:ilvl w:val="0"/>
          <w:numId w:val="2"/>
        </w:numPr>
        <w:spacing w:after="60" w:before="0"/>
      </w:pPr>
      <w:r>
        <w:rPr>
          <w:sz w:val="21"/>
          <w:szCs w:val="21"/>
        </w:rPr>
        <w:t xml:space="preserve">Complete the provider actions in this roadmap within the agreed timeframes.</w:t>
      </w:r>
    </w:p>
    <w:p>
      <w:pPr>
        <w:pStyle w:val="ListParagraph"/>
        <w:numPr>
          <w:ilvl w:val="0"/>
          <w:numId w:val="2"/>
        </w:numPr>
        <w:spacing w:after="60" w:before="0"/>
      </w:pPr>
      <w:r>
        <w:rPr>
          <w:sz w:val="21"/>
          <w:szCs w:val="21"/>
        </w:rPr>
        <w:t xml:space="preserve">Tell us promptly if any plans or circumstances change.</w:t>
      </w:r>
    </w:p>
    <w:p>
      <w:pPr>
        <w:spacing w:after="120" w:before="0"/>
      </w:pPr>
      <w:r>
        <w:rPr>
          <w:color w:val="000000"/>
          <w:sz w:val="22"/>
          <w:szCs w:val="22"/>
        </w:rPr>
        <w:t xml:space="preserve">We encourage initiative, but please note that Cura Compliance UK cannot take responsibility for actions taken without our guidance. Our success depends on working together towards a shared goal.</w:t>
      </w:r>
    </w:p>
    <w:p>
      <w:pPr>
        <w:spacing w:after="0" w:before="200"/>
        <w:jc w:val="center"/>
      </w:pPr>
      <w:r>
        <w:rPr>
          <w:b/>
          <w:bCs/>
          <w:color w:val="1B3A5C"/>
          <w:sz w:val="22"/>
          <w:szCs w:val="22"/>
        </w:rPr>
        <w:t xml:space="preserve">Cura Compliance UK  |  Your Partner in CQC Registration</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4"/>
      </w:pBdr>
      <w:spacing w:after="0" w:before="0"/>
      <w:jc w:val="center"/>
    </w:pPr>
    <w:r>
      <w:rPr>
        <w:color w:val="595959"/>
        <w:sz w:val="16"/>
        <w:szCs w:val="16"/>
      </w:rPr>
      <w:t xml:space="preserve">Cura Compliance UK · CQC Registration Roadmap · Independent Ambulance Services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2026-07-22T18:17:10.368Z</dcterms:created>
  <dcterms:modified xsi:type="dcterms:W3CDTF">2026-07-22T18:17:10.368Z</dcterms:modified>
</cp:coreProperties>
</file>

<file path=docProps/custom.xml><?xml version="1.0" encoding="utf-8"?>
<Properties xmlns="http://schemas.openxmlformats.org/officeDocument/2006/custom-properties" xmlns:vt="http://schemas.openxmlformats.org/officeDocument/2006/docPropsVTypes"/>
</file>