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center"/>
      </w:pPr>
      <w:r>
        <w:rPr>
          <w:b/>
          <w:bCs/>
          <w:color w:val="1B3A5C"/>
          <w:sz w:val="44"/>
          <w:szCs w:val="44"/>
        </w:rPr>
        <w:t xml:space="preserve">CQC REGISTRATION ROADMAP</w:t>
      </w:r>
    </w:p>
    <w:p>
      <w:pPr>
        <w:spacing w:after="40" w:before="0"/>
        <w:jc w:val="center"/>
      </w:pPr>
      <w:r>
        <w:rPr>
          <w:b/>
          <w:bCs/>
          <w:color w:val="2E7D8C"/>
          <w:sz w:val="28"/>
          <w:szCs w:val="28"/>
        </w:rPr>
        <w:t xml:space="preserve">Independent Clinics &amp; GP Practices</w:t>
      </w:r>
    </w:p>
    <w:p>
      <w:pPr>
        <w:spacing w:after="30" w:before="0"/>
        <w:jc w:val="center"/>
      </w:pPr>
      <w:r>
        <w:rPr>
          <w:color w:val="595959"/>
          <w:sz w:val="20"/>
          <w:szCs w:val="20"/>
        </w:rPr>
        <w:t xml:space="preserve">Health and Social Care Act 2008 · Health and Social Care Act 2008 (Regulated Activities) Regulations 2014</w:t>
      </w:r>
    </w:p>
    <w:p>
      <w:pPr>
        <w:spacing w:after="20" w:before="0"/>
        <w:jc w:val="center"/>
      </w:pPr>
      <w:r>
        <w:rPr>
          <w:i/>
          <w:iCs/>
          <w:color w:val="1B3A5C"/>
          <w:sz w:val="22"/>
          <w:szCs w:val="22"/>
        </w:rPr>
        <w:t xml:space="preserve">Supported by Cura Compliance UK</w:t>
      </w:r>
    </w:p>
    <w:p>
      <w:pPr>
        <w:spacing w:after="40" w:before="0"/>
        <w:jc w:val="center"/>
      </w:pPr>
      <w:r>
        <w:rPr>
          <w:color w:val="595959"/>
          <w:sz w:val="18"/>
          <w:szCs w:val="18"/>
        </w:rPr>
        <w:t xml:space="preserve">Prepared July 2026 · Aligned to current CQC guidance</w:t>
      </w:r>
    </w:p>
    <w:p>
      <w:pPr>
        <w:pBdr>
          <w:bottom w:val="single" w:color="2E7D8C" w:sz="8" w:space="1"/>
        </w:pBdr>
        <w:spacing w:after="160" w:before="80"/>
      </w:pPr>
      <w:r>
        <w:rPr>
          <w:sz w:val="4"/>
          <w:szCs w:val="4"/>
        </w:rPr>
        <w:t xml:space="preserve"/>
      </w:r>
    </w:p>
    <w:p>
      <w:pPr>
        <w:pStyle w:val="Heading1"/>
        <w:spacing w:after="120" w:before="60"/>
      </w:pPr>
      <w:r>
        <w:rPr>
          <w:b/>
          <w:bCs/>
          <w:color w:val="1B3A5C"/>
          <w:sz w:val="28"/>
          <w:szCs w:val="28"/>
        </w:rPr>
        <w:t xml:space="preserve">Overview</w:t>
      </w:r>
    </w:p>
    <w:p>
      <w:pPr>
        <w:spacing w:after="120" w:before="0"/>
      </w:pPr>
      <w:r>
        <w:rPr>
          <w:color w:val="000000"/>
          <w:sz w:val="22"/>
          <w:szCs w:val="22"/>
        </w:rPr>
        <w:t xml:space="preserve">Registering an independent clinic or GP practice with the Care Quality Commission (CQC) is a clinically demanding registration. Alongside the standard provider application, CQC expects a working clinical governance framework, safe medicines management, infection prevention and control arrangements, and clinicians whose registration, indemnity and safeguarding training can all be evidenced before the first patient is seen.</w:t>
      </w:r>
    </w:p>
    <w:p>
      <w:pPr>
        <w:spacing w:after="120" w:before="0"/>
      </w:pPr>
      <w:r>
        <w:rPr>
          <w:color w:val="000000"/>
          <w:sz w:val="22"/>
          <w:szCs w:val="22"/>
        </w:rPr>
        <w:t xml:space="preserve">This roadmap sets out every action required, who leads it, and how Cura Compliance UK and the provider work together as partners to achieve a successful registration. It follows the two-stage structure Cura uses for all registrations: Stage 1, building and submitting the application; and Stage 2, support through the assessment and interviews until registration is granted.</w:t>
      </w:r>
    </w:p>
    <w:p>
      <w:pPr>
        <w:pStyle w:val="Heading2"/>
        <w:spacing w:after="100" w:before="120"/>
      </w:pPr>
      <w:r>
        <w:rPr>
          <w:b/>
          <w:bCs/>
          <w:color w:val="1B3A5C"/>
          <w:sz w:val="24"/>
          <w:szCs w:val="24"/>
        </w:rPr>
        <w:t xml:space="preserve">Three things that shape this registration</w:t>
      </w:r>
    </w:p>
    <w:tbl>
      <w:tblPr>
        <w:tblW w:type="dxa" w:w="9026"/>
        <w:tblBorders>
          <w:top w:val="single" w:color="2E7D8C" w:sz="4"/>
          <w:left w:val="single" w:color="2E7D8C" w:sz="18"/>
          <w:bottom w:val="single" w:color="2E7D8C" w:sz="4"/>
          <w:right w:val="single" w:color="2E7D8C" w:sz="4"/>
          <w:insideH w:val="single" w:color="auto" w:sz="4"/>
          <w:insideV w:val="single" w:color="auto" w:sz="4"/>
        </w:tblBorders>
      </w:tblPr>
      <w:tblGrid>
        <w:gridCol w:w="9026"/>
      </w:tblGrid>
      <w:tr>
        <w:tc>
          <w:tcPr>
            <w:tcW w:type="dxa" w:w="9026"/>
            <w:shd w:fill="F2F8F9" w:val="clear"/>
            <w:tcMar>
              <w:top w:type="dxa" w:w="140"/>
              <w:left w:type="dxa" w:w="200"/>
              <w:bottom w:type="dxa" w:w="140"/>
              <w:right w:type="dxa" w:w="200"/>
            </w:tcMar>
          </w:tcPr>
          <w:p>
            <w:pPr>
              <w:spacing w:after="80" w:before="20"/>
            </w:pPr>
            <w:r>
              <w:rPr>
                <w:b/>
                <w:bCs/>
                <w:color w:val="1B3A5C"/>
                <w:sz w:val="22"/>
                <w:szCs w:val="22"/>
              </w:rPr>
              <w:t xml:space="preserve">These three points shape every phase of this roadmap.</w:t>
            </w:r>
          </w:p>
          <w:p>
            <w:pPr>
              <w:spacing w:after="100" w:before="0"/>
            </w:pPr>
            <w:r>
              <w:rPr>
                <w:b/>
                <w:bCs/>
                <w:color w:val="2E7D8C"/>
                <w:sz w:val="21"/>
                <w:szCs w:val="21"/>
              </w:rPr>
              <w:t xml:space="preserve">1. Regulated activities must match the clinical model.  </w:t>
            </w:r>
            <w:r>
              <w:rPr>
                <w:sz w:val="21"/>
                <w:szCs w:val="21"/>
              </w:rPr>
              <w:t xml:space="preserve">Most clinics register for Treatment of disease, disorder or injury and Diagnostic and screening procedures; minor surgery adds Surgical procedures, and contraception services add Family planning. Registering for the wrong activities — or missing one — is a common cause of rejection or of having to re-apply later.</w:t>
            </w:r>
          </w:p>
          <w:p>
            <w:pPr>
              <w:spacing w:after="100" w:before="0"/>
            </w:pPr>
            <w:r>
              <w:rPr>
                <w:b/>
                <w:bCs/>
                <w:color w:val="2E7D8C"/>
                <w:sz w:val="21"/>
                <w:szCs w:val="21"/>
              </w:rPr>
              <w:t xml:space="preserve">2. Clinical governance is assessed, not promised.  </w:t>
            </w:r>
            <w:r>
              <w:rPr>
                <w:sz w:val="21"/>
                <w:szCs w:val="21"/>
              </w:rPr>
              <w:t xml:space="preserve">CQC expects the governance machinery — clinical audit, significant event analysis, safety alert handling, prescribing oversight and clinical supervision — to exist at the point of registration, with the Registered Manager able to describe how it runs in practice.</w:t>
            </w:r>
          </w:p>
          <w:p>
            <w:pPr>
              <w:spacing w:after="100" w:before="0"/>
            </w:pPr>
            <w:r>
              <w:rPr>
                <w:b/>
                <w:bCs/>
                <w:color w:val="2E7D8C"/>
                <w:sz w:val="21"/>
                <w:szCs w:val="21"/>
              </w:rPr>
              <w:t xml:space="preserve">3. Medicines and premises evidence is front-loaded.  </w:t>
            </w:r>
            <w:r>
              <w:rPr>
                <w:sz w:val="21"/>
                <w:szCs w:val="21"/>
              </w:rPr>
              <w:t xml:space="preserve">Emergency medicines and equipment, cold-chain arrangements, PGDs/PSDs where used, clinical waste contracts, and an infection prevention and control audit of the clinical rooms should all be in place before the interview stage.</w:t>
            </w:r>
          </w:p>
        </w:tc>
      </w:tr>
    </w:tbl>
    <w:p>
      <w:pPr>
        <w:spacing w:after="80" w:before="0"/>
      </w:pPr>
      <w:r>
        <w:rPr>
          <w:sz w:val="8"/>
          <w:szCs w:val="8"/>
        </w:rPr>
        <w:t xml:space="preserve"/>
      </w:r>
    </w:p>
    <w:p>
      <w:pPr>
        <w:pStyle w:val="Heading2"/>
        <w:spacing w:after="100" w:before="120"/>
      </w:pPr>
      <w:r>
        <w:rPr>
          <w:b/>
          <w:bCs/>
          <w:color w:val="1B3A5C"/>
          <w:sz w:val="24"/>
          <w:szCs w:val="24"/>
        </w:rPr>
        <w:t xml:space="preserve">Responsibility key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7626"/>
      </w:tblGrid>
      <w:tr>
        <w:tc>
          <w:tcPr>
            <w:tcW w:type="dxa" w:w="14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Cura Compliance UK delivers this work.</w:t>
            </w:r>
          </w:p>
        </w:tc>
      </w:tr>
      <w:tr>
        <w:tc>
          <w:tcPr>
            <w:tcW w:type="dxa" w:w="14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Provider action required. Cura advises, guides and reviews throughout, but only the provider can complete it.</w:t>
            </w:r>
          </w:p>
        </w:tc>
      </w:tr>
      <w:tr>
        <w:tc>
          <w:tcPr>
            <w:tcW w:type="dxa" w:w="14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Joint action — delivered together by Cura Compliance UK and the provider.</w:t>
            </w:r>
          </w:p>
        </w:tc>
      </w:tr>
      <w:tr>
        <w:tc>
          <w:tcPr>
            <w:tcW w:type="dxa" w:w="1400"/>
            <w:tcBorders>
              <w:top w:val="single" w:color="BFBFBF" w:sz="1"/>
              <w:left w:val="single" w:color="BFBFBF" w:sz="1"/>
              <w:bottom w:val="single" w:color="BFBFBF" w:sz="1"/>
              <w:right w:val="single" w:color="BFBFBF" w:sz="1"/>
            </w:tcBorders>
            <w:shd w:fill="FBEFD3" w:val="clear"/>
            <w:tcMar>
              <w:top w:type="dxa" w:w="80"/>
              <w:left w:type="dxa" w:w="120"/>
              <w:bottom w:type="dxa" w:w="80"/>
              <w:right w:type="dxa" w:w="120"/>
            </w:tcMar>
            <w:vAlign w:val="center"/>
          </w:tcPr>
          <w:p>
            <w:pPr>
              <w:spacing w:after="0" w:before="0"/>
              <w:jc w:val="center"/>
            </w:pPr>
            <w:r>
              <w:rPr>
                <w:b/>
                <w:bCs/>
                <w:color w:val="1B3A5C"/>
                <w:sz w:val="20"/>
                <w:szCs w:val="20"/>
              </w:rPr>
              <w:t xml:space="preserve">Optional</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Available from Cura Compliance UK as a separate package — not included in the standard engagement.</w:t>
            </w:r>
          </w:p>
        </w:tc>
      </w:tr>
      <w:tr>
        <w:tc>
          <w:tcPr>
            <w:tcW w:type="dxa" w:w="1400"/>
            <w:tcBorders>
              <w:top w:val="single" w:color="BFBFBF" w:sz="1"/>
              <w:left w:val="single" w:color="BFBFBF" w:sz="1"/>
              <w:bottom w:val="single" w:color="BFBFBF" w:sz="1"/>
              <w:right w:val="single" w:color="BFBFBF" w:sz="1"/>
            </w:tcBorders>
            <w:shd w:fill="EDE7F2" w:val="clear"/>
            <w:tcMar>
              <w:top w:type="dxa" w:w="80"/>
              <w:left w:type="dxa" w:w="120"/>
              <w:bottom w:type="dxa" w:w="80"/>
              <w:right w:type="dxa" w:w="120"/>
            </w:tcMar>
            <w:vAlign w:val="center"/>
          </w:tcPr>
          <w:p>
            <w:pPr>
              <w:spacing w:after="0" w:before="0"/>
              <w:jc w:val="center"/>
            </w:pPr>
            <w:r>
              <w:rPr>
                <w:b/>
                <w:bCs/>
                <w:color w:val="1B3A5C"/>
                <w:sz w:val="20"/>
                <w:szCs w:val="20"/>
              </w:rPr>
              <w:t xml:space="preserve">CQC</w:t>
            </w:r>
          </w:p>
        </w:tc>
        <w:tc>
          <w:tcPr>
            <w:tcW w:type="dxa" w:w="7626"/>
            <w:tcBorders>
              <w:top w:val="single" w:color="BFBFBF" w:sz="1"/>
              <w:left w:val="single" w:color="BFBFBF" w:sz="1"/>
              <w:bottom w:val="single" w:color="BFBFBF" w:sz="1"/>
              <w:right w:val="single" w:color="BFBFBF" w:sz="1"/>
            </w:tcBorders>
            <w:tcMar>
              <w:top w:type="dxa" w:w="80"/>
              <w:left w:type="dxa" w:w="120"/>
              <w:bottom w:type="dxa" w:w="80"/>
              <w:right w:type="dxa" w:w="120"/>
            </w:tcMar>
            <w:vAlign w:val="center"/>
          </w:tcPr>
          <w:p>
            <w:pPr>
              <w:spacing w:after="0" w:before="0"/>
            </w:pPr>
            <w:r>
              <w:rPr>
                <w:sz w:val="20"/>
                <w:szCs w:val="20"/>
              </w:rPr>
              <w:t xml:space="preserve">Carried out by the Care Quality Commission. Neither the provider nor Cura completes this step.</w:t>
            </w:r>
          </w:p>
        </w:tc>
      </w:tr>
    </w:tbl>
    <w:p>
      <w:pPr>
        <w:spacing w:after="80" w:before="0"/>
      </w:pPr>
      <w:r>
        <w:rPr>
          <w:sz w:val="8"/>
          <w:szCs w:val="8"/>
        </w:rPr>
        <w:t xml:space="preserve"/>
      </w:r>
    </w:p>
    <w:p>
      <w:pPr>
        <w:pStyle w:val="Heading1"/>
        <w:spacing w:after="120" w:before="60"/>
      </w:pPr>
      <w:r>
        <w:rPr>
          <w:b/>
          <w:bCs/>
          <w:color w:val="1B3A5C"/>
          <w:sz w:val="28"/>
          <w:szCs w:val="28"/>
        </w:rPr>
        <w:t xml:space="preserve">Stage 1 — Building and submitting the application</w:t>
      </w:r>
    </w:p>
    <w:p>
      <w:pPr>
        <w:spacing w:after="120" w:before="0"/>
      </w:pPr>
      <w:r>
        <w:rPr>
          <w:color w:val="000000"/>
          <w:sz w:val="22"/>
          <w:szCs w:val="22"/>
        </w:rPr>
        <w:t xml:space="preserve">Phases 1 to 5 cover everything needed to build a complete, compliant application and submit it to CQC.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1  —  FOUNDATIONS AND SERVICE DESIGN</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1.1  Company set-up and Companies House match</w:t>
            </w:r>
          </w:p>
          <w:p>
            <w:pPr>
              <w:spacing w:after="0" w:before="0"/>
            </w:pPr>
            <w:r>
              <w:rPr>
                <w:sz w:val="20"/>
                <w:szCs w:val="20"/>
              </w:rPr>
              <w:t xml:space="preserve">Establish or confirm the limited company (or partnership). The legal name and registered details must exactly match what is entered on the CQC application — any difference will delay or invalidate it.</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1.2  Define the clinical model</w:t>
            </w:r>
          </w:p>
          <w:p>
            <w:pPr>
              <w:spacing w:after="0" w:before="0"/>
            </w:pPr>
            <w:r>
              <w:rPr>
                <w:sz w:val="20"/>
                <w:szCs w:val="20"/>
              </w:rPr>
              <w:t xml:space="preserve">Agree the services offered (general practice, specialist clinics, aesthetics with prescription-only medicines, minor surgery, diagnostics), the patient group, private/NHS mix, and face-to-face versus remote elements. Cura shapes this into a registrable model and confirms the correct regulated activities.</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1.3  Business plan and financial viability</w:t>
            </w:r>
          </w:p>
          <w:p>
            <w:pPr>
              <w:spacing w:after="0" w:before="0"/>
            </w:pPr>
            <w:r>
              <w:rPr>
                <w:sz w:val="20"/>
                <w:szCs w:val="20"/>
              </w:rPr>
              <w:t xml:space="preserve">Cura builds the full business plan and financial projections. The provider supplies funding evidence, expected fee income, costs and projections for years 1–2.</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1.4  Secure the premises</w:t>
            </w:r>
          </w:p>
          <w:p>
            <w:pPr>
              <w:spacing w:after="0" w:before="0"/>
            </w:pPr>
            <w:r>
              <w:rPr>
                <w:sz w:val="20"/>
                <w:szCs w:val="20"/>
              </w:rPr>
              <w:t xml:space="preserve">Lease or purchase premises suitable for clinical use, with appropriate consulting and treatment rooms, accessibility, and — where minor surgery is planned — a room that can meet the required standard. Cura advises on suitability before you commit.</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bl>
    <w:p>
      <w:pPr>
        <w:spacing w:after="8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2  —  PEOPLE AND MANAGEMENT</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2.1  Appoint the Registered Manager</w:t>
            </w:r>
          </w:p>
          <w:p>
            <w:pPr>
              <w:spacing w:after="0" w:before="0"/>
            </w:pPr>
            <w:r>
              <w:rPr>
                <w:sz w:val="20"/>
                <w:szCs w:val="20"/>
              </w:rPr>
              <w:t xml:space="preserve">Appoint a manager with the competence and authority to run the service day to day — in many clinics this is the lead clinician. The Registered Manager application, DBS (countersigned through CQC), employment history and references must all be ready.</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2.2  Confirm the Nominated Individual</w:t>
            </w:r>
          </w:p>
          <w:p>
            <w:pPr>
              <w:spacing w:after="0" w:before="0"/>
            </w:pPr>
            <w:r>
              <w:rPr>
                <w:sz w:val="20"/>
                <w:szCs w:val="20"/>
              </w:rPr>
              <w:t xml:space="preserve">The Nominated Individual supervises the management of the regulated activity on behalf of the provider organisation and must be a director, manager or secretary of the company.</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2.3  Clinical registrations and indemnity</w:t>
            </w:r>
          </w:p>
          <w:p>
            <w:pPr>
              <w:spacing w:after="0" w:before="0"/>
            </w:pPr>
            <w:r>
              <w:rPr>
                <w:sz w:val="20"/>
                <w:szCs w:val="20"/>
              </w:rPr>
              <w:t xml:space="preserve">Verify GMC/NMC/HCPC registration for every clinician, appropriate clinical negligence indemnity for the work undertaken, and revalidation/appraisal arrangements. Records must be available for the assessment.</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2.4  Safeguarding and mandatory training</w:t>
            </w:r>
          </w:p>
          <w:p>
            <w:pPr>
              <w:spacing w:after="0" w:before="0"/>
            </w:pPr>
            <w:r>
              <w:rPr>
                <w:sz w:val="20"/>
                <w:szCs w:val="20"/>
              </w:rPr>
              <w:t xml:space="preserve">Clinicians seeing children or families need safeguarding children training at the appropriate level (Level 3 for GPs and lead clinicians); all staff need adult safeguarding, BLS/anaphylaxis, IPC and information governance training. Cura maps the requirement; the provider arranges delivery.</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2.5  Recruitment files</w:t>
            </w:r>
          </w:p>
          <w:p>
            <w:pPr>
              <w:spacing w:after="0" w:before="0"/>
            </w:pPr>
            <w:r>
              <w:rPr>
                <w:sz w:val="20"/>
                <w:szCs w:val="20"/>
              </w:rPr>
              <w:t xml:space="preserve">Complete recruitment records (Schedule 3) for all staff — identity, DBS, references, qualifications, right to work, health — held and ready to evidence.</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bl>
    <w:p>
      <w:pPr>
        <w:spacing w:after="8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3  —  PREMISES, EQUIPMENT AND MEDICINES</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3.1  Infection prevention and control</w:t>
            </w:r>
          </w:p>
          <w:p>
            <w:pPr>
              <w:spacing w:after="0" w:before="0"/>
            </w:pPr>
            <w:r>
              <w:rPr>
                <w:sz w:val="20"/>
                <w:szCs w:val="20"/>
              </w:rPr>
              <w:t xml:space="preserve">IPC policy and a baseline IPC audit of the clinical rooms; hand hygiene, cleaning schedules, sharps arrangements and a clinical waste contract in place.</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3.2  Medical equipment and calibration</w:t>
            </w:r>
          </w:p>
          <w:p>
            <w:pPr>
              <w:spacing w:after="0" w:before="0"/>
            </w:pPr>
            <w:r>
              <w:rPr>
                <w:sz w:val="20"/>
                <w:szCs w:val="20"/>
              </w:rPr>
              <w:t xml:space="preserve">Purchase, service and calibrate clinical equipment; resuscitation equipment (including oxygen, AED and anaphylaxis kit appropriate to the service) available and checked.</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3.3  Medicines management</w:t>
            </w:r>
          </w:p>
          <w:p>
            <w:pPr>
              <w:spacing w:after="0" w:before="0"/>
            </w:pPr>
            <w:r>
              <w:rPr>
                <w:sz w:val="20"/>
                <w:szCs w:val="20"/>
              </w:rPr>
              <w:t xml:space="preserve">Safe storage (including fridge/cold chain with monitoring), stock control, emergency medicines, prescription security, PGDs/PSDs where used, and controlled drugs governance where relevant. Cura drafts the medicines policy suite; the provider implements it.</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3.4  Premises safety</w:t>
            </w:r>
          </w:p>
          <w:p>
            <w:pPr>
              <w:spacing w:after="0" w:before="0"/>
            </w:pPr>
            <w:r>
              <w:rPr>
                <w:sz w:val="20"/>
                <w:szCs w:val="20"/>
              </w:rPr>
              <w:t xml:space="preserve">Fire risk assessment, gas and electrical (EICR) certificates, legionella risk assessment, health and safety risk assessment, and premises insurance plus employer’s and public liability cover.</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3.5  Information governance</w:t>
            </w:r>
          </w:p>
          <w:p>
            <w:pPr>
              <w:spacing w:after="0" w:before="0"/>
            </w:pPr>
            <w:r>
              <w:rPr>
                <w:sz w:val="20"/>
                <w:szCs w:val="20"/>
              </w:rPr>
              <w:t xml:space="preserve">ICO registration, a clinical record system with audit trails, privacy notices, and — where NHS-connected services or data are involved — completion of the Data Security and Protection Toolkit.</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bl>
    <w:p>
      <w:pPr>
        <w:spacing w:after="8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4  —  DOCUMENTATION</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4.1  Statement of Purpose</w:t>
            </w:r>
          </w:p>
          <w:p>
            <w:pPr>
              <w:spacing w:after="0" w:before="0"/>
            </w:pPr>
            <w:r>
              <w:rPr>
                <w:sz w:val="20"/>
                <w:szCs w:val="20"/>
              </w:rPr>
              <w:t xml:space="preserve">Cura writes the Statement of Purpose covering aims and objectives, the regulated activities, service user bands, locations and management structure, in the format CQC requires.</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4.2  Policies and procedures</w:t>
            </w:r>
          </w:p>
          <w:p>
            <w:pPr>
              <w:spacing w:after="0" w:before="0"/>
            </w:pPr>
            <w:r>
              <w:rPr>
                <w:sz w:val="20"/>
                <w:szCs w:val="20"/>
              </w:rPr>
              <w:t xml:space="preserve">Fully tailored clinical and organisational policy suite: safeguarding (adults and children), consent and mental capacity, IPC, medicines management, complaints, duty of candour, significant events, chaperoning, clinical record keeping, confidentiality, recruitment, lone working, and more. Full list available on our website.</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4.3  Clinical governance framework</w:t>
            </w:r>
          </w:p>
          <w:p>
            <w:pPr>
              <w:spacing w:after="0" w:before="0"/>
            </w:pPr>
            <w:r>
              <w:rPr>
                <w:sz w:val="20"/>
                <w:szCs w:val="20"/>
              </w:rPr>
              <w:t xml:space="preserve">Audit programme, significant event analysis process, MHRA/CAS safety alert handling, prescribing oversight, clinical supervision and appraisal arrangements — documented and ready to describe at interview.</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4.4  Shared document review</w:t>
            </w:r>
          </w:p>
          <w:p>
            <w:pPr>
              <w:spacing w:after="0" w:before="0"/>
            </w:pPr>
            <w:r>
              <w:rPr>
                <w:sz w:val="20"/>
                <w:szCs w:val="20"/>
              </w:rPr>
              <w:t xml:space="preserve">Cura uploads each chapter to a shared Google Drive folder as it is completed; the provider reviews and confirms that every document accurately reflects the service.</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bl>
    <w:p>
      <w:pPr>
        <w:spacing w:after="80" w:before="0"/>
      </w:pPr>
      <w:r>
        <w:rPr>
          <w:sz w:val="8"/>
          <w:szCs w:val="8"/>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5  —  APPLICATION SUBMISSION</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5.1  Provider application</w:t>
            </w:r>
          </w:p>
          <w:p>
            <w:pPr>
              <w:spacing w:after="0" w:before="0"/>
            </w:pPr>
            <w:r>
              <w:rPr>
                <w:sz w:val="20"/>
                <w:szCs w:val="20"/>
              </w:rPr>
              <w:t xml:space="preserve">Cura completes the new provider application — regulated activities, locations, service types and service user bands — from the provider’s information, and the provider reviews it before submission.</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5.2  Registered Manager application</w:t>
            </w:r>
          </w:p>
          <w:p>
            <w:pPr>
              <w:spacing w:after="0" w:before="0"/>
            </w:pPr>
            <w:r>
              <w:rPr>
                <w:sz w:val="20"/>
                <w:szCs w:val="20"/>
              </w:rPr>
              <w:t xml:space="preserve">The Registered Manager’s own application, submitted alongside the provider application. Cura completes the form; the manager supplies personal details, employment history, references and GP details, and completes the CQC-countersigned DBS.</w:t>
            </w:r>
          </w:p>
        </w:tc>
        <w:tc>
          <w:tcPr>
            <w:tcW w:type="dxa" w:w="1600"/>
            <w:tcBorders>
              <w:top w:val="single" w:color="BFBFBF" w:sz="1"/>
              <w:left w:val="single" w:color="BFBFBF" w:sz="1"/>
              <w:bottom w:val="single" w:color="BFBFBF" w:sz="1"/>
              <w:right w:val="single" w:color="BFBFBF" w:sz="1"/>
            </w:tcBorders>
            <w:shd w:fill="EFEFEF" w:val="clear"/>
            <w:tcMar>
              <w:top w:type="dxa" w:w="80"/>
              <w:left w:type="dxa" w:w="120"/>
              <w:bottom w:type="dxa" w:w="80"/>
              <w:right w:type="dxa" w:w="120"/>
            </w:tcMar>
            <w:vAlign w:val="center"/>
          </w:tcPr>
          <w:p>
            <w:pPr>
              <w:spacing w:after="0" w:before="0"/>
              <w:jc w:val="center"/>
            </w:pPr>
            <w:r>
              <w:rPr>
                <w:b/>
                <w:bCs/>
                <w:color w:val="1B3A5C"/>
                <w:sz w:val="20"/>
                <w:szCs w:val="20"/>
              </w:rPr>
              <w:t xml:space="preserve">Both</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5.3  Supporting evidence</w:t>
            </w:r>
          </w:p>
          <w:p>
            <w:pPr>
              <w:spacing w:after="0" w:before="0"/>
            </w:pPr>
            <w:r>
              <w:rPr>
                <w:sz w:val="20"/>
                <w:szCs w:val="20"/>
              </w:rPr>
              <w:t xml:space="preserve">Statement of Purpose, financial viability evidence, indemnity confirmation and any requested documents prepared and attached in the required format.</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5.4  Final review and submission</w:t>
            </w:r>
          </w:p>
          <w:p>
            <w:pPr>
              <w:spacing w:after="0" w:before="0"/>
            </w:pPr>
            <w:r>
              <w:rPr>
                <w:sz w:val="20"/>
                <w:szCs w:val="20"/>
              </w:rPr>
              <w:t xml:space="preserve">Cura conducts a full consistency and compliance review of every form and document before submitting the complete application to CQC.</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bl>
    <w:p>
      <w:pPr>
        <w:spacing w:after="80" w:before="0"/>
      </w:pPr>
      <w:r>
        <w:rPr>
          <w:sz w:val="8"/>
          <w:szCs w:val="8"/>
        </w:rPr>
        <w:t xml:space="preserve"/>
      </w:r>
    </w:p>
    <w:p>
      <w:pPr>
        <w:pStyle w:val="Heading1"/>
        <w:spacing w:after="120" w:before="60"/>
      </w:pPr>
      <w:r>
        <w:rPr>
          <w:b/>
          <w:bCs/>
          <w:color w:val="1B3A5C"/>
          <w:sz w:val="28"/>
          <w:szCs w:val="28"/>
        </w:rPr>
        <w:t xml:space="preserve">Stage 2 — Support through to successful registration</w:t>
      </w:r>
    </w:p>
    <w:p>
      <w:pPr>
        <w:spacing w:after="120" w:before="0"/>
      </w:pPr>
      <w:r>
        <w:rPr>
          <w:color w:val="000000"/>
          <w:sz w:val="22"/>
          <w:szCs w:val="22"/>
        </w:rPr>
        <w:t xml:space="preserve">Phase 6 covers the assessment, the interviews, and the decision. This is where Cura’s preparation and advice are most valuable.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426"/>
        <w:gridCol w:w="1600"/>
      </w:tblGrid>
      <w:tr>
        <w:trPr>
          <w:tblHeader/>
        </w:trPr>
        <w:tc>
          <w:tcPr>
            <w:tcW w:type="dxa" w:w="9026"/>
            <w:gridSpan w:val="2"/>
            <w:tcBorders>
              <w:top w:val="single" w:color="BFBFBF" w:sz="1"/>
              <w:left w:val="single" w:color="BFBFBF" w:sz="1"/>
              <w:bottom w:val="single" w:color="BFBFBF" w:sz="1"/>
              <w:right w:val="single" w:color="BFBFBF" w:sz="1"/>
            </w:tcBorders>
            <w:shd w:fill="1B3A5C" w:val="clear"/>
            <w:tcMar>
              <w:top w:type="dxa" w:w="80"/>
              <w:left w:type="dxa" w:w="120"/>
              <w:bottom w:type="dxa" w:w="80"/>
              <w:right w:type="dxa" w:w="120"/>
            </w:tcMar>
          </w:tcPr>
          <w:p>
            <w:pPr>
              <w:spacing w:after="20" w:before="20"/>
            </w:pPr>
            <w:r>
              <w:rPr>
                <w:b/>
                <w:bCs/>
                <w:color w:val="FFFFFF"/>
                <w:sz w:val="22"/>
                <w:szCs w:val="22"/>
              </w:rPr>
              <w:t xml:space="preserve">PHASE 6  —  ASSESSMENT, INTERVIEWS AND DECISION</w:t>
            </w:r>
          </w:p>
        </w:tc>
      </w:tr>
      <w:tr>
        <w:trPr>
          <w:tblHeader/>
        </w:trPr>
        <w:tc>
          <w:tcPr>
            <w:tcW w:type="dxa" w:w="7426"/>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pPr>
            <w:r>
              <w:rPr>
                <w:b/>
                <w:bCs/>
                <w:color w:val="FFFFFF"/>
                <w:sz w:val="20"/>
                <w:szCs w:val="20"/>
              </w:rPr>
              <w:t xml:space="preserve">Action</w:t>
            </w:r>
          </w:p>
        </w:tc>
        <w:tc>
          <w:tcPr>
            <w:tcW w:type="dxa" w:w="1600"/>
            <w:tcBorders>
              <w:top w:val="single" w:color="BFBFBF" w:sz="1"/>
              <w:left w:val="single" w:color="BFBFBF" w:sz="1"/>
              <w:bottom w:val="single" w:color="BFBFBF" w:sz="1"/>
              <w:right w:val="single" w:color="BFBFBF" w:sz="1"/>
            </w:tcBorders>
            <w:shd w:fill="2E7D8C" w:val="clear"/>
            <w:tcMar>
              <w:top w:type="dxa" w:w="80"/>
              <w:left w:type="dxa" w:w="120"/>
              <w:bottom w:type="dxa" w:w="80"/>
              <w:right w:type="dxa" w:w="120"/>
            </w:tcMar>
          </w:tcPr>
          <w:p>
            <w:pPr>
              <w:spacing w:after="0" w:before="0"/>
              <w:jc w:val="center"/>
            </w:pPr>
            <w:r>
              <w:rPr>
                <w:b/>
                <w:bCs/>
                <w:color w:val="FFFFFF"/>
                <w:sz w:val="20"/>
                <w:szCs w:val="20"/>
              </w:rPr>
              <w:t xml:space="preserve">Lead</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6.1  Application adjustments and resubmissions</w:t>
            </w:r>
          </w:p>
          <w:p>
            <w:pPr>
              <w:spacing w:after="0" w:before="0"/>
            </w:pPr>
            <w:r>
              <w:rPr>
                <w:sz w:val="20"/>
                <w:szCs w:val="20"/>
              </w:rPr>
              <w:t xml:space="preserve">Under CQC’s stricter acceptance regime, applications can be rejected for any legal error. Cura expects this and handles all required adjustments and resubmissions until the application is accepted by a Registration Inspector.</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6.2  Ongoing follow-up</w:t>
            </w:r>
          </w:p>
          <w:p>
            <w:pPr>
              <w:spacing w:after="0" w:before="0"/>
            </w:pPr>
            <w:r>
              <w:rPr>
                <w:sz w:val="20"/>
                <w:szCs w:val="20"/>
              </w:rPr>
              <w:t xml:space="preserve">We follow up with CQC on your behalf throughout the assessment. If the inspector requests further information, we manage the response.</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6.3  Mock interviews</w:t>
            </w:r>
          </w:p>
          <w:p>
            <w:pPr>
              <w:spacing w:after="0" w:before="0"/>
            </w:pPr>
            <w:r>
              <w:rPr>
                <w:sz w:val="20"/>
                <w:szCs w:val="20"/>
              </w:rPr>
              <w:t xml:space="preserve">Mock fitness interviews for the Registered Manager and Nominated Individual, with detailed, critical feedback on clinical governance, medicines, safeguarding, the regulations and the fundamental standards.</w:t>
            </w:r>
          </w:p>
        </w:tc>
        <w:tc>
          <w:tcPr>
            <w:tcW w:type="dxa" w:w="1600"/>
            <w:tcBorders>
              <w:top w:val="single" w:color="BFBFBF" w:sz="1"/>
              <w:left w:val="single" w:color="BFBFBF" w:sz="1"/>
              <w:bottom w:val="single" w:color="BFBFBF" w:sz="1"/>
              <w:right w:val="single" w:color="BFBFBF" w:sz="1"/>
            </w:tcBorders>
            <w:shd w:fill="E3EAF0" w:val="clear"/>
            <w:tcMar>
              <w:top w:type="dxa" w:w="80"/>
              <w:left w:type="dxa" w:w="120"/>
              <w:bottom w:type="dxa" w:w="80"/>
              <w:right w:type="dxa" w:w="120"/>
            </w:tcMar>
            <w:vAlign w:val="center"/>
          </w:tcPr>
          <w:p>
            <w:pPr>
              <w:spacing w:after="0" w:before="0"/>
              <w:jc w:val="center"/>
            </w:pPr>
            <w:r>
              <w:rPr>
                <w:b/>
                <w:bCs/>
                <w:color w:val="1B3A5C"/>
                <w:sz w:val="20"/>
                <w:szCs w:val="20"/>
              </w:rPr>
              <w:t xml:space="preserve">Cura</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6.4  Registration interview</w:t>
            </w:r>
          </w:p>
          <w:p>
            <w:pPr>
              <w:spacing w:after="0" w:before="0"/>
            </w:pPr>
            <w:r>
              <w:rPr>
                <w:sz w:val="20"/>
                <w:szCs w:val="20"/>
              </w:rPr>
              <w:t xml:space="preserve">CQC interviews the Registered Manager (and may speak to the Nominated Individual). They attend and demonstrate their suitability and their command of the service.</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6.5  Registration decision</w:t>
            </w:r>
          </w:p>
          <w:p>
            <w:pPr>
              <w:spacing w:after="0" w:before="0"/>
            </w:pPr>
            <w:r>
              <w:rPr>
                <w:sz w:val="20"/>
                <w:szCs w:val="20"/>
              </w:rPr>
              <w:t xml:space="preserve">CQC issues its decision and the certificate of registration with any conditions. The service may only begin regulated activity once registration is granted.</w:t>
            </w:r>
          </w:p>
        </w:tc>
        <w:tc>
          <w:tcPr>
            <w:tcW w:type="dxa" w:w="1600"/>
            <w:tcBorders>
              <w:top w:val="single" w:color="BFBFBF" w:sz="1"/>
              <w:left w:val="single" w:color="BFBFBF" w:sz="1"/>
              <w:bottom w:val="single" w:color="BFBFBF" w:sz="1"/>
              <w:right w:val="single" w:color="BFBFBF" w:sz="1"/>
            </w:tcBorders>
            <w:shd w:fill="EDE7F2" w:val="clear"/>
            <w:tcMar>
              <w:top w:type="dxa" w:w="80"/>
              <w:left w:type="dxa" w:w="120"/>
              <w:bottom w:type="dxa" w:w="80"/>
              <w:right w:type="dxa" w:w="120"/>
            </w:tcMar>
            <w:vAlign w:val="center"/>
          </w:tcPr>
          <w:p>
            <w:pPr>
              <w:spacing w:after="0" w:before="0"/>
              <w:jc w:val="center"/>
            </w:pPr>
            <w:r>
              <w:rPr>
                <w:b/>
                <w:bCs/>
                <w:color w:val="1B3A5C"/>
                <w:sz w:val="20"/>
                <w:szCs w:val="20"/>
              </w:rPr>
              <w:t xml:space="preserve">CQC</w:t>
            </w:r>
          </w:p>
        </w:tc>
      </w:tr>
      <w:tr>
        <w:tc>
          <w:tcPr>
            <w:tcW w:type="dxa" w:w="7426"/>
            <w:tcBorders>
              <w:top w:val="single" w:color="BFBFBF" w:sz="1"/>
              <w:left w:val="single" w:color="BFBFBF" w:sz="1"/>
              <w:bottom w:val="single" w:color="BFBFBF" w:sz="1"/>
              <w:right w:val="single" w:color="BFBFBF" w:sz="1"/>
            </w:tcBorders>
            <w:tcMar>
              <w:top w:type="dxa" w:w="80"/>
              <w:left w:type="dxa" w:w="120"/>
              <w:bottom w:type="dxa" w:w="80"/>
              <w:right w:type="dxa" w:w="120"/>
            </w:tcMar>
          </w:tcPr>
          <w:p>
            <w:pPr>
              <w:spacing w:after="40" w:before="0"/>
            </w:pPr>
            <w:r>
              <w:rPr>
                <w:b/>
                <w:bCs/>
                <w:color w:val="1B3A5C"/>
                <w:sz w:val="21"/>
                <w:szCs w:val="21"/>
              </w:rPr>
              <w:t xml:space="preserve">6.6  Post-registration readiness</w:t>
            </w:r>
          </w:p>
          <w:p>
            <w:pPr>
              <w:spacing w:after="0" w:before="0"/>
            </w:pPr>
            <w:r>
              <w:rPr>
                <w:sz w:val="20"/>
                <w:szCs w:val="20"/>
              </w:rPr>
              <w:t xml:space="preserve">Statutory notifications, display of ratings (once rated), ongoing audit cycle and preparation for the first inspection.</w:t>
            </w:r>
          </w:p>
        </w:tc>
        <w:tc>
          <w:tcPr>
            <w:tcW w:type="dxa" w:w="1600"/>
            <w:tcBorders>
              <w:top w:val="single" w:color="BFBFBF" w:sz="1"/>
              <w:left w:val="single" w:color="BFBFBF" w:sz="1"/>
              <w:bottom w:val="single" w:color="BFBFBF" w:sz="1"/>
              <w:right w:val="single" w:color="BFBFBF" w:sz="1"/>
            </w:tcBorders>
            <w:shd w:fill="E0EFF1" w:val="clear"/>
            <w:tcMar>
              <w:top w:type="dxa" w:w="80"/>
              <w:left w:type="dxa" w:w="120"/>
              <w:bottom w:type="dxa" w:w="80"/>
              <w:right w:type="dxa" w:w="120"/>
            </w:tcMar>
            <w:vAlign w:val="center"/>
          </w:tcPr>
          <w:p>
            <w:pPr>
              <w:spacing w:after="0" w:before="0"/>
              <w:jc w:val="center"/>
            </w:pPr>
            <w:r>
              <w:rPr>
                <w:b/>
                <w:bCs/>
                <w:color w:val="1B3A5C"/>
                <w:sz w:val="20"/>
                <w:szCs w:val="20"/>
              </w:rPr>
              <w:t xml:space="preserve">Provider</w:t>
            </w:r>
          </w:p>
        </w:tc>
      </w:tr>
    </w:tbl>
    <w:p>
      <w:pPr>
        <w:spacing w:after="80" w:before="0"/>
      </w:pPr>
      <w:r>
        <w:rPr>
          <w:sz w:val="8"/>
          <w:szCs w:val="8"/>
        </w:rPr>
        <w:t xml:space="preserve"/>
      </w:r>
    </w:p>
    <w:p>
      <w:pPr>
        <w:pStyle w:val="Heading1"/>
        <w:spacing w:after="120" w:before="60"/>
      </w:pPr>
      <w:r>
        <w:rPr>
          <w:b/>
          <w:bCs/>
          <w:color w:val="1B3A5C"/>
          <w:sz w:val="28"/>
          <w:szCs w:val="28"/>
        </w:rPr>
        <w:t xml:space="preserve">Critical path and indicative timing</w:t>
      </w:r>
    </w:p>
    <w:p>
      <w:pPr>
        <w:pStyle w:val="ListParagraph"/>
        <w:numPr>
          <w:ilvl w:val="0"/>
          <w:numId w:val="2"/>
        </w:numPr>
        <w:spacing w:after="60" w:before="0"/>
      </w:pPr>
      <w:r>
        <w:rPr>
          <w:sz w:val="21"/>
          <w:szCs w:val="21"/>
        </w:rPr>
        <w:t xml:space="preserve">Confirm the regulated activities first. The clinical model determines the activities, the policies and the evidence — changing them mid-application causes rework and delay.</w:t>
      </w:r>
    </w:p>
    <w:p>
      <w:pPr>
        <w:pStyle w:val="ListParagraph"/>
        <w:numPr>
          <w:ilvl w:val="0"/>
          <w:numId w:val="2"/>
        </w:numPr>
        <w:spacing w:after="60" w:before="0"/>
      </w:pPr>
      <w:r>
        <w:rPr>
          <w:sz w:val="21"/>
          <w:szCs w:val="21"/>
        </w:rPr>
        <w:t xml:space="preserve">Start clinician checks early. GMC/NMC/HCPC verification, indemnity confirmation and CQC-countersigned DBS checks have external lead times you cannot compress.</w:t>
      </w:r>
    </w:p>
    <w:p>
      <w:pPr>
        <w:pStyle w:val="ListParagraph"/>
        <w:numPr>
          <w:ilvl w:val="0"/>
          <w:numId w:val="2"/>
        </w:numPr>
        <w:spacing w:after="60" w:before="0"/>
      </w:pPr>
      <w:r>
        <w:rPr>
          <w:sz w:val="21"/>
          <w:szCs w:val="21"/>
        </w:rPr>
        <w:t xml:space="preserve">Have the clinical rooms ready before interview. IPC audit, equipment, emergency medicines and waste contracts are expected to be demonstrable, not planned.</w:t>
      </w:r>
    </w:p>
    <w:p>
      <w:pPr>
        <w:pStyle w:val="ListParagraph"/>
        <w:numPr>
          <w:ilvl w:val="0"/>
          <w:numId w:val="2"/>
        </w:numPr>
        <w:spacing w:after="60" w:before="0"/>
      </w:pPr>
      <w:r>
        <w:rPr>
          <w:sz w:val="21"/>
          <w:szCs w:val="21"/>
        </w:rPr>
        <w:t xml:space="preserve">Allow roughly 10–12 weeks from a clean submission to decision; rejections for legal errors restart the clock, which is why Stage 1 review matters.</w:t>
      </w:r>
    </w:p>
    <w:p>
      <w:pPr>
        <w:pStyle w:val="Heading1"/>
        <w:spacing w:after="120" w:before="60"/>
      </w:pPr>
      <w:r>
        <w:rPr>
          <w:b/>
          <w:bCs/>
          <w:color w:val="1B3A5C"/>
          <w:sz w:val="28"/>
          <w:szCs w:val="28"/>
        </w:rPr>
        <w:t xml:space="preserve">Required documents checklist</w:t>
      </w:r>
    </w:p>
    <w:p>
      <w:pPr>
        <w:spacing w:after="120" w:before="0"/>
      </w:pPr>
      <w:r>
        <w:rPr>
          <w:color w:val="000000"/>
          <w:sz w:val="22"/>
          <w:szCs w:val="22"/>
        </w:rPr>
        <w:t xml:space="preserve">Submitted with the application:</w:t>
      </w:r>
    </w:p>
    <w:p>
      <w:pPr>
        <w:pStyle w:val="ListParagraph"/>
        <w:numPr>
          <w:ilvl w:val="0"/>
          <w:numId w:val="2"/>
        </w:numPr>
        <w:spacing w:after="60" w:before="0"/>
      </w:pPr>
      <w:r>
        <w:rPr>
          <w:sz w:val="21"/>
          <w:szCs w:val="21"/>
        </w:rPr>
        <w:t xml:space="preserve">Statement of Purpose</w:t>
      </w:r>
    </w:p>
    <w:p>
      <w:pPr>
        <w:pStyle w:val="ListParagraph"/>
        <w:numPr>
          <w:ilvl w:val="0"/>
          <w:numId w:val="2"/>
        </w:numPr>
        <w:spacing w:after="60" w:before="0"/>
      </w:pPr>
      <w:r>
        <w:rPr>
          <w:sz w:val="21"/>
          <w:szCs w:val="21"/>
        </w:rPr>
        <w:t xml:space="preserve">Provider application (regulated activities, locations, service user bands)</w:t>
      </w:r>
    </w:p>
    <w:p>
      <w:pPr>
        <w:pStyle w:val="ListParagraph"/>
        <w:numPr>
          <w:ilvl w:val="0"/>
          <w:numId w:val="2"/>
        </w:numPr>
        <w:spacing w:after="60" w:before="0"/>
      </w:pPr>
      <w:r>
        <w:rPr>
          <w:sz w:val="21"/>
          <w:szCs w:val="21"/>
        </w:rPr>
        <w:t xml:space="preserve">Registered Manager application with CQC-countersigned DBS</w:t>
      </w:r>
    </w:p>
    <w:p>
      <w:pPr>
        <w:pStyle w:val="ListParagraph"/>
        <w:numPr>
          <w:ilvl w:val="0"/>
          <w:numId w:val="2"/>
        </w:numPr>
        <w:spacing w:after="60" w:before="0"/>
      </w:pPr>
      <w:r>
        <w:rPr>
          <w:sz w:val="21"/>
          <w:szCs w:val="21"/>
        </w:rPr>
        <w:t xml:space="preserve">Business plan and financial viability evidence</w:t>
      </w:r>
    </w:p>
    <w:p>
      <w:pPr>
        <w:pStyle w:val="ListParagraph"/>
        <w:numPr>
          <w:ilvl w:val="0"/>
          <w:numId w:val="2"/>
        </w:numPr>
        <w:spacing w:after="60" w:before="0"/>
      </w:pPr>
      <w:r>
        <w:rPr>
          <w:sz w:val="21"/>
          <w:szCs w:val="21"/>
        </w:rPr>
        <w:t xml:space="preserve">Clinical negligence indemnity confirmation</w:t>
      </w:r>
    </w:p>
    <w:p>
      <w:pPr>
        <w:pStyle w:val="ListParagraph"/>
        <w:numPr>
          <w:ilvl w:val="0"/>
          <w:numId w:val="2"/>
        </w:numPr>
        <w:spacing w:after="60" w:before="0"/>
      </w:pPr>
      <w:r>
        <w:rPr>
          <w:sz w:val="21"/>
          <w:szCs w:val="21"/>
        </w:rPr>
        <w:t xml:space="preserve">ICO registration</w:t>
      </w:r>
    </w:p>
    <w:p>
      <w:pPr>
        <w:spacing w:after="120" w:before="0"/>
      </w:pPr>
      <w:r>
        <w:rPr>
          <w:color w:val="000000"/>
          <w:sz w:val="22"/>
          <w:szCs w:val="22"/>
        </w:rPr>
        <w:t xml:space="preserve">Ready at or before the interview stage (in addition to the above):</w:t>
      </w:r>
    </w:p>
    <w:p>
      <w:pPr>
        <w:pStyle w:val="ListParagraph"/>
        <w:numPr>
          <w:ilvl w:val="0"/>
          <w:numId w:val="2"/>
        </w:numPr>
        <w:spacing w:after="60" w:before="0"/>
      </w:pPr>
      <w:r>
        <w:rPr>
          <w:sz w:val="21"/>
          <w:szCs w:val="21"/>
        </w:rPr>
        <w:t xml:space="preserve">Full policy and procedure suite, including medicines and safeguarding</w:t>
      </w:r>
    </w:p>
    <w:p>
      <w:pPr>
        <w:pStyle w:val="ListParagraph"/>
        <w:numPr>
          <w:ilvl w:val="0"/>
          <w:numId w:val="2"/>
        </w:numPr>
        <w:spacing w:after="60" w:before="0"/>
      </w:pPr>
      <w:r>
        <w:rPr>
          <w:sz w:val="21"/>
          <w:szCs w:val="21"/>
        </w:rPr>
        <w:t xml:space="preserve">Clinical governance framework — audit programme, significant events, safety alerts</w:t>
      </w:r>
    </w:p>
    <w:p>
      <w:pPr>
        <w:pStyle w:val="ListParagraph"/>
        <w:numPr>
          <w:ilvl w:val="0"/>
          <w:numId w:val="2"/>
        </w:numPr>
        <w:spacing w:after="60" w:before="0"/>
      </w:pPr>
      <w:r>
        <w:rPr>
          <w:sz w:val="21"/>
          <w:szCs w:val="21"/>
        </w:rPr>
        <w:t xml:space="preserve">IPC audit of the clinical premises and clinical waste contract</w:t>
      </w:r>
    </w:p>
    <w:p>
      <w:pPr>
        <w:pStyle w:val="ListParagraph"/>
        <w:numPr>
          <w:ilvl w:val="0"/>
          <w:numId w:val="2"/>
        </w:numPr>
        <w:spacing w:after="60" w:before="0"/>
      </w:pPr>
      <w:r>
        <w:rPr>
          <w:sz w:val="21"/>
          <w:szCs w:val="21"/>
        </w:rPr>
        <w:t xml:space="preserve">Emergency medicines and resuscitation equipment, checked and logged</w:t>
      </w:r>
    </w:p>
    <w:p>
      <w:pPr>
        <w:pStyle w:val="ListParagraph"/>
        <w:numPr>
          <w:ilvl w:val="0"/>
          <w:numId w:val="2"/>
        </w:numPr>
        <w:spacing w:after="60" w:before="0"/>
      </w:pPr>
      <w:r>
        <w:rPr>
          <w:sz w:val="21"/>
          <w:szCs w:val="21"/>
        </w:rPr>
        <w:t xml:space="preserve">Cold-chain/fridge monitoring records and PGDs/PSDs where used</w:t>
      </w:r>
    </w:p>
    <w:p>
      <w:pPr>
        <w:pStyle w:val="ListParagraph"/>
        <w:numPr>
          <w:ilvl w:val="0"/>
          <w:numId w:val="2"/>
        </w:numPr>
        <w:spacing w:after="60" w:before="0"/>
      </w:pPr>
      <w:r>
        <w:rPr>
          <w:sz w:val="21"/>
          <w:szCs w:val="21"/>
        </w:rPr>
        <w:t xml:space="preserve">Staff recruitment files (Schedule 3), training matrix and clinical registrations</w:t>
      </w:r>
    </w:p>
    <w:p>
      <w:pPr>
        <w:pStyle w:val="ListParagraph"/>
        <w:numPr>
          <w:ilvl w:val="0"/>
          <w:numId w:val="2"/>
        </w:numPr>
        <w:spacing w:after="60" w:before="0"/>
      </w:pPr>
      <w:r>
        <w:rPr>
          <w:sz w:val="21"/>
          <w:szCs w:val="21"/>
        </w:rPr>
        <w:t xml:space="preserve">Premises safety — fire risk assessment, gas, EICR, legionella, insurance</w:t>
      </w:r>
    </w:p>
    <w:p>
      <w:pPr>
        <w:pStyle w:val="ListParagraph"/>
        <w:numPr>
          <w:ilvl w:val="0"/>
          <w:numId w:val="2"/>
        </w:numPr>
        <w:spacing w:after="60" w:before="0"/>
      </w:pPr>
      <w:r>
        <w:rPr>
          <w:sz w:val="21"/>
          <w:szCs w:val="21"/>
        </w:rPr>
        <w:t xml:space="preserve">Data Security and Protection Toolkit (where NHS-connected)</w:t>
      </w:r>
    </w:p>
    <w:p>
      <w:pPr>
        <w:pStyle w:val="Heading1"/>
        <w:spacing w:after="120" w:before="60"/>
      </w:pPr>
      <w:r>
        <w:rPr>
          <w:b/>
          <w:bCs/>
          <w:color w:val="1B3A5C"/>
          <w:sz w:val="28"/>
          <w:szCs w:val="28"/>
        </w:rPr>
        <w:t xml:space="preserve">Payment structure</w:t>
      </w:r>
    </w:p>
    <w:p>
      <w:pPr>
        <w:spacing w:after="120" w:before="0"/>
      </w:pPr>
      <w:r>
        <w:rPr>
          <w:color w:val="000000"/>
          <w:sz w:val="22"/>
          <w:szCs w:val="22"/>
        </w:rPr>
        <w:t xml:space="preserve">Cura works in two stages, mirroring its established approach:</w:t>
      </w:r>
    </w:p>
    <w:p>
      <w:pPr>
        <w:pStyle w:val="ListParagraph"/>
        <w:numPr>
          <w:ilvl w:val="0"/>
          <w:numId w:val="2"/>
        </w:numPr>
        <w:spacing w:after="60" w:before="0"/>
      </w:pPr>
      <w:r>
        <w:rPr>
          <w:sz w:val="21"/>
          <w:szCs w:val="21"/>
        </w:rPr>
        <w:t xml:space="preserve">Stage 1 — Documentation and submission: the business plan, Statement of Purpose, the full policy suite and clinical governance framework, and completion and submission of the provider and Registered Manager applications.</w:t>
      </w:r>
    </w:p>
    <w:p>
      <w:pPr>
        <w:pStyle w:val="ListParagraph"/>
        <w:numPr>
          <w:ilvl w:val="0"/>
          <w:numId w:val="2"/>
        </w:numPr>
        <w:spacing w:after="60" w:before="0"/>
      </w:pPr>
      <w:r>
        <w:rPr>
          <w:sz w:val="21"/>
          <w:szCs w:val="21"/>
        </w:rPr>
        <w:t xml:space="preserve">Stage 2 — Support through to successful registration: application adjustments, ongoing follow-up with CQC, mock interviews, and preparation for the registration assessment and interviews until registration is granted.</w:t>
      </w:r>
    </w:p>
    <w:p>
      <w:pPr>
        <w:spacing w:after="120" w:before="0"/>
      </w:pPr>
      <w:r>
        <w:rPr>
          <w:color w:val="000000"/>
          <w:sz w:val="22"/>
          <w:szCs w:val="22"/>
        </w:rPr>
        <w:t xml:space="preserve">Stage 1 is agreed at the start of the engagement. Stage 2 is taken close to the interview stage. If registration is refused following the interview stage, the Stage 2 fee is refunded — Cura’s guaranteed-success approach. This guarantee assumes the provider has completed their own actions in line with this roadmap.</w:t>
      </w:r>
    </w:p>
    <w:p>
      <w:pPr>
        <w:spacing w:after="120" w:before="0"/>
      </w:pPr>
      <w:r>
        <w:rPr>
          <w:color w:val="000000"/>
          <w:sz w:val="22"/>
          <w:szCs w:val="22"/>
        </w:rPr>
        <w:t xml:space="preserve">CQC does not charge an application fee. An annual fee becomes payable to CQC once registration is granted, and is paid by the provider directly to CQC.</w:t>
      </w:r>
    </w:p>
    <w:p>
      <w:pPr>
        <w:pStyle w:val="Heading1"/>
        <w:spacing w:after="120" w:before="60"/>
      </w:pPr>
      <w:r>
        <w:rPr>
          <w:b/>
          <w:bCs/>
          <w:color w:val="1B3A5C"/>
          <w:sz w:val="28"/>
          <w:szCs w:val="28"/>
        </w:rPr>
        <w:t xml:space="preserve">Ongoing support and communication</w:t>
      </w:r>
    </w:p>
    <w:p>
      <w:pPr>
        <w:pStyle w:val="ListParagraph"/>
        <w:numPr>
          <w:ilvl w:val="0"/>
          <w:numId w:val="2"/>
        </w:numPr>
        <w:spacing w:after="60" w:before="0"/>
      </w:pPr>
      <w:r>
        <w:rPr>
          <w:sz w:val="21"/>
          <w:szCs w:val="21"/>
        </w:rPr>
        <w:t xml:space="preserve">Access to our business WhatsApp for quick queries and updates.</w:t>
      </w:r>
    </w:p>
    <w:p>
      <w:pPr>
        <w:pStyle w:val="ListParagraph"/>
        <w:numPr>
          <w:ilvl w:val="0"/>
          <w:numId w:val="2"/>
        </w:numPr>
        <w:spacing w:after="60" w:before="0"/>
      </w:pPr>
      <w:r>
        <w:rPr>
          <w:sz w:val="21"/>
          <w:szCs w:val="21"/>
        </w:rPr>
        <w:t xml:space="preserve">Two dedicated consultants available throughout the process.</w:t>
      </w:r>
    </w:p>
    <w:p>
      <w:pPr>
        <w:pStyle w:val="ListParagraph"/>
        <w:numPr>
          <w:ilvl w:val="0"/>
          <w:numId w:val="2"/>
        </w:numPr>
        <w:spacing w:after="60" w:before="0"/>
      </w:pPr>
      <w:r>
        <w:rPr>
          <w:sz w:val="21"/>
          <w:szCs w:val="21"/>
        </w:rPr>
        <w:t xml:space="preserve">Office consultation meetings arranged as needed.</w:t>
      </w:r>
    </w:p>
    <w:p>
      <w:pPr>
        <w:pStyle w:val="ListParagraph"/>
        <w:numPr>
          <w:ilvl w:val="0"/>
          <w:numId w:val="2"/>
        </w:numPr>
        <w:spacing w:after="60" w:before="0"/>
      </w:pPr>
      <w:r>
        <w:rPr>
          <w:sz w:val="21"/>
          <w:szCs w:val="21"/>
        </w:rPr>
        <w:t xml:space="preserve">Guidance, mentoring sessions and advisory consultations at each phase.</w:t>
      </w:r>
    </w:p>
    <w:p>
      <w:pPr>
        <w:spacing w:after="120" w:before="0"/>
      </w:pPr>
      <w:r>
        <w:rPr>
          <w:color w:val="000000"/>
          <w:sz w:val="22"/>
          <w:szCs w:val="22"/>
        </w:rPr>
        <w:t xml:space="preserve">Website development: we also offer a separate website development service through a dedicated developer. Please speak with us for details.</w:t>
      </w:r>
    </w:p>
    <w:p>
      <w:pPr>
        <w:pStyle w:val="Heading1"/>
        <w:spacing w:after="120" w:before="60"/>
      </w:pPr>
      <w:r>
        <w:rPr>
          <w:b/>
          <w:bCs/>
          <w:color w:val="1B3A5C"/>
          <w:sz w:val="28"/>
          <w:szCs w:val="28"/>
        </w:rPr>
        <w:t xml:space="preserve">Our partnership approach</w:t>
      </w:r>
    </w:p>
    <w:p>
      <w:pPr>
        <w:spacing w:after="120" w:before="0"/>
      </w:pPr>
      <w:r>
        <w:rPr>
          <w:color w:val="000000"/>
          <w:sz w:val="22"/>
          <w:szCs w:val="22"/>
        </w:rPr>
        <w:t xml:space="preserve">This process is built on partnership. We commit to expert guidance, thorough documentation and hands-on support at every stage. Because CQC expects the clinic to be clinically ready at the interview stage, the provider’s timely completion of premises, equipment, medicines and staffing actions is essential to the timeline and to a successful outcome. In return, we ask our clients to:</w:t>
      </w:r>
    </w:p>
    <w:p>
      <w:pPr>
        <w:pStyle w:val="ListParagraph"/>
        <w:numPr>
          <w:ilvl w:val="0"/>
          <w:numId w:val="2"/>
        </w:numPr>
        <w:spacing w:after="60" w:before="0"/>
      </w:pPr>
      <w:r>
        <w:rPr>
          <w:sz w:val="21"/>
          <w:szCs w:val="21"/>
        </w:rPr>
        <w:t xml:space="preserve">Follow our recommendations and guidance throughout the process.</w:t>
      </w:r>
    </w:p>
    <w:p>
      <w:pPr>
        <w:pStyle w:val="ListParagraph"/>
        <w:numPr>
          <w:ilvl w:val="0"/>
          <w:numId w:val="2"/>
        </w:numPr>
        <w:spacing w:after="60" w:before="0"/>
      </w:pPr>
      <w:r>
        <w:rPr>
          <w:sz w:val="21"/>
          <w:szCs w:val="21"/>
        </w:rPr>
        <w:t xml:space="preserve">Review all shared documents and provide timely feedback.</w:t>
      </w:r>
    </w:p>
    <w:p>
      <w:pPr>
        <w:pStyle w:val="ListParagraph"/>
        <w:numPr>
          <w:ilvl w:val="0"/>
          <w:numId w:val="2"/>
        </w:numPr>
        <w:spacing w:after="60" w:before="0"/>
      </w:pPr>
      <w:r>
        <w:rPr>
          <w:sz w:val="21"/>
          <w:szCs w:val="21"/>
        </w:rPr>
        <w:t xml:space="preserve">Complete the provider actions in this roadmap within the agreed timeframes.</w:t>
      </w:r>
    </w:p>
    <w:p>
      <w:pPr>
        <w:pStyle w:val="ListParagraph"/>
        <w:numPr>
          <w:ilvl w:val="0"/>
          <w:numId w:val="2"/>
        </w:numPr>
        <w:spacing w:after="60" w:before="0"/>
      </w:pPr>
      <w:r>
        <w:rPr>
          <w:sz w:val="21"/>
          <w:szCs w:val="21"/>
        </w:rPr>
        <w:t xml:space="preserve">Tell us promptly if any plans or circumstances change.</w:t>
      </w:r>
    </w:p>
    <w:p>
      <w:pPr>
        <w:spacing w:after="120" w:before="0"/>
      </w:pPr>
      <w:r>
        <w:rPr>
          <w:color w:val="000000"/>
          <w:sz w:val="22"/>
          <w:szCs w:val="22"/>
        </w:rPr>
        <w:t xml:space="preserve">We encourage initiative, but please note that Cura Compliance UK cannot take responsibility for actions taken without our guidance. Our success depends on working together towards a shared goal.</w:t>
      </w:r>
    </w:p>
    <w:p>
      <w:pPr>
        <w:spacing w:after="0" w:before="200"/>
        <w:jc w:val="center"/>
      </w:pPr>
      <w:r>
        <w:rPr>
          <w:b/>
          <w:bCs/>
          <w:color w:val="1B3A5C"/>
          <w:sz w:val="22"/>
          <w:szCs w:val="22"/>
        </w:rPr>
        <w:t xml:space="preserve">Cura Compliance UK  |  Your Partner in CQC Registration</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4"/>
      </w:pBdr>
      <w:spacing w:after="0" w:before="0"/>
      <w:jc w:val="center"/>
    </w:pPr>
    <w:r>
      <w:rPr>
        <w:color w:val="595959"/>
        <w:sz w:val="16"/>
        <w:szCs w:val="16"/>
      </w:rPr>
      <w:t xml:space="preserve">Cura Compliance UK · CQC Registration Roadmap · Independent Clinics &amp; GP Practices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2026-07-22T18:17:10.197Z</dcterms:created>
  <dcterms:modified xsi:type="dcterms:W3CDTF">2026-07-22T18:17:10.200Z</dcterms:modified>
</cp:coreProperties>
</file>

<file path=docProps/custom.xml><?xml version="1.0" encoding="utf-8"?>
<Properties xmlns="http://schemas.openxmlformats.org/officeDocument/2006/custom-properties" xmlns:vt="http://schemas.openxmlformats.org/officeDocument/2006/docPropsVTypes"/>
</file>