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b/>
          <w:bCs/>
          <w:color w:val="1B3A5C"/>
          <w:sz w:val="44"/>
          <w:szCs w:val="44"/>
        </w:rPr>
        <w:t xml:space="preserve">CQC REGISTRATION ROADMAP</w:t>
      </w:r>
    </w:p>
    <w:p>
      <w:pPr>
        <w:spacing w:after="40" w:before="0"/>
        <w:jc w:val="center"/>
      </w:pPr>
      <w:r>
        <w:rPr>
          <w:b/>
          <w:bCs/>
          <w:color w:val="2E7D8C"/>
          <w:sz w:val="28"/>
          <w:szCs w:val="28"/>
        </w:rPr>
        <w:t xml:space="preserve">Dental &amp; Oral Health Practices</w:t>
      </w:r>
    </w:p>
    <w:p>
      <w:pPr>
        <w:spacing w:after="30" w:before="0"/>
        <w:jc w:val="center"/>
      </w:pPr>
      <w:r>
        <w:rPr>
          <w:color w:val="595959"/>
          <w:sz w:val="20"/>
          <w:szCs w:val="20"/>
        </w:rPr>
        <w:t xml:space="preserve">Health and Social Care Act 2008 · Health and Social Care Act 2008 (Regulated Activities) Regulations 2014</w:t>
      </w:r>
    </w:p>
    <w:p>
      <w:pPr>
        <w:spacing w:after="20" w:before="0"/>
        <w:jc w:val="center"/>
      </w:pPr>
      <w:r>
        <w:rPr>
          <w:i/>
          <w:iCs/>
          <w:color w:val="1B3A5C"/>
          <w:sz w:val="22"/>
          <w:szCs w:val="22"/>
        </w:rPr>
        <w:t xml:space="preserve">Supported by Cura Compliance UK</w:t>
      </w:r>
    </w:p>
    <w:p>
      <w:pPr>
        <w:spacing w:after="40" w:before="0"/>
        <w:jc w:val="center"/>
      </w:pPr>
      <w:r>
        <w:rPr>
          <w:color w:val="595959"/>
          <w:sz w:val="18"/>
          <w:szCs w:val="18"/>
        </w:rPr>
        <w:t xml:space="preserve">Prepared July 2026 · Aligned to current CQC guidance</w:t>
      </w:r>
    </w:p>
    <w:p>
      <w:pPr>
        <w:pBdr>
          <w:bottom w:val="single" w:color="2E7D8C" w:sz="8" w:space="1"/>
        </w:pBdr>
        <w:spacing w:after="160" w:before="80"/>
      </w:pPr>
      <w:r>
        <w:rPr>
          <w:sz w:val="4"/>
          <w:szCs w:val="4"/>
        </w:rPr>
        <w:t xml:space="preserve"/>
      </w:r>
    </w:p>
    <w:p>
      <w:pPr>
        <w:pStyle w:val="Heading1"/>
        <w:spacing w:after="120" w:before="60"/>
      </w:pPr>
      <w:r>
        <w:rPr>
          <w:b/>
          <w:bCs/>
          <w:color w:val="1B3A5C"/>
          <w:sz w:val="28"/>
          <w:szCs w:val="28"/>
        </w:rPr>
        <w:t xml:space="preserve">Overview</w:t>
      </w:r>
    </w:p>
    <w:p>
      <w:pPr>
        <w:spacing w:after="120" w:before="0"/>
      </w:pPr>
      <w:r>
        <w:rPr>
          <w:color w:val="000000"/>
          <w:sz w:val="22"/>
          <w:szCs w:val="22"/>
        </w:rPr>
        <w:t xml:space="preserve">Registering a dental practice with the Care Quality Commission (CQC) is dominated by technical premises compliance: decontamination to HTM 01-05, radiography under IRR17 and IR(ME)R17, sharps and clinical waste, and medical emergency readiness. The professional side — GDC registration and indemnity for every registrant — must be watertight before the application goes in.</w:t>
      </w:r>
    </w:p>
    <w:p>
      <w:pPr>
        <w:spacing w:after="120" w:before="0"/>
      </w:pPr>
      <w:r>
        <w:rPr>
          <w:color w:val="000000"/>
          <w:sz w:val="22"/>
          <w:szCs w:val="22"/>
        </w:rPr>
        <w:t xml:space="preserve">This roadmap sets out every action required, who leads it, and how Cura Compliance UK and the provider work together as partners to achieve a successful registration. It follows the two-stage structure Cura uses for all registrations: Stage 1, building and submitting the application; and Stage 2, support through the assessment and interviews until registration is granted.</w:t>
      </w:r>
    </w:p>
    <w:p>
      <w:pPr>
        <w:pStyle w:val="Heading2"/>
        <w:spacing w:after="100" w:before="120"/>
      </w:pPr>
      <w:r>
        <w:rPr>
          <w:b/>
          <w:bCs/>
          <w:color w:val="1B3A5C"/>
          <w:sz w:val="24"/>
          <w:szCs w:val="24"/>
        </w:rPr>
        <w:t xml:space="preserve">Three things that shape this registration</w:t>
      </w:r>
    </w:p>
    <w:tbl>
      <w:tblPr>
        <w:tblW w:type="dxa" w:w="9026"/>
        <w:tblBorders>
          <w:top w:val="single" w:color="2E7D8C" w:sz="4"/>
          <w:left w:val="single" w:color="2E7D8C" w:sz="18"/>
          <w:bottom w:val="single" w:color="2E7D8C" w:sz="4"/>
          <w:right w:val="single" w:color="2E7D8C" w:sz="4"/>
          <w:insideH w:val="single" w:color="auto" w:sz="4"/>
          <w:insideV w:val="single" w:color="auto" w:sz="4"/>
        </w:tblBorders>
      </w:tblPr>
      <w:tblGrid>
        <w:gridCol w:w="9026"/>
      </w:tblGrid>
      <w:tr>
        <w:tc>
          <w:tcPr>
            <w:tcW w:type="dxa" w:w="9026"/>
            <w:shd w:fill="F2F8F9" w:val="clear"/>
            <w:tcMar>
              <w:top w:type="dxa" w:w="140"/>
              <w:left w:type="dxa" w:w="200"/>
              <w:bottom w:type="dxa" w:w="140"/>
              <w:right w:type="dxa" w:w="200"/>
            </w:tcMar>
          </w:tcPr>
          <w:p>
            <w:pPr>
              <w:spacing w:after="80" w:before="20"/>
            </w:pPr>
            <w:r>
              <w:rPr>
                <w:b/>
                <w:bCs/>
                <w:color w:val="1B3A5C"/>
                <w:sz w:val="22"/>
                <w:szCs w:val="22"/>
              </w:rPr>
              <w:t xml:space="preserve">These three points shape every phase of this roadmap.</w:t>
            </w:r>
          </w:p>
          <w:p>
            <w:pPr>
              <w:spacing w:after="100" w:before="0"/>
            </w:pPr>
            <w:r>
              <w:rPr>
                <w:b/>
                <w:bCs/>
                <w:color w:val="2E7D8C"/>
                <w:sz w:val="21"/>
                <w:szCs w:val="21"/>
              </w:rPr>
              <w:t xml:space="preserve">1. Decontamination is the make-or-break premises issue.  </w:t>
            </w:r>
            <w:r>
              <w:rPr>
                <w:sz w:val="21"/>
                <w:szCs w:val="21"/>
              </w:rPr>
              <w:t xml:space="preserve">Instrument decontamination must meet HTM 01-05 — dirty-to-clean workflow, washer-disinfector and autoclave with validation and daily testing logs, and correct storage of sterilised instruments. Plan the decontamination room (or zoned area) into the fit-out from day one.</w:t>
            </w:r>
          </w:p>
          <w:p>
            <w:pPr>
              <w:spacing w:after="100" w:before="0"/>
            </w:pPr>
            <w:r>
              <w:rPr>
                <w:b/>
                <w:bCs/>
                <w:color w:val="2E7D8C"/>
                <w:sz w:val="21"/>
                <w:szCs w:val="21"/>
              </w:rPr>
              <w:t xml:space="preserve">2. Radiography brings its own regulators.  </w:t>
            </w:r>
            <w:r>
              <w:rPr>
                <w:sz w:val="21"/>
                <w:szCs w:val="21"/>
              </w:rPr>
              <w:t xml:space="preserve">X-ray equipment must be registered with the Health and Safety Executive under IRR17, with a Radiation Protection Adviser appointed, local rules displayed, and IR(ME)R17 employer procedures, referrer/practitioner/operator entitlements and equipment QA in place before exposures begin.</w:t>
            </w:r>
          </w:p>
          <w:p>
            <w:pPr>
              <w:spacing w:after="100" w:before="0"/>
            </w:pPr>
            <w:r>
              <w:rPr>
                <w:b/>
                <w:bCs/>
                <w:color w:val="2E7D8C"/>
                <w:sz w:val="21"/>
                <w:szCs w:val="21"/>
              </w:rPr>
              <w:t xml:space="preserve">3. Every registrant must be clean on paper.  </w:t>
            </w:r>
            <w:r>
              <w:rPr>
                <w:sz w:val="21"/>
                <w:szCs w:val="21"/>
              </w:rPr>
              <w:t xml:space="preserve">GDC registration, indemnity, DBS checks, hepatitis B immunity and CPD for each dentist, hygienist, therapist and nurse — CQC and the GDC both expect this evidenced, and one gap can stall the application.</w:t>
            </w:r>
          </w:p>
        </w:tc>
      </w:tr>
    </w:tbl>
    <w:p>
      <w:pPr>
        <w:spacing w:after="80" w:before="0"/>
      </w:pPr>
      <w:r>
        <w:rPr>
          <w:sz w:val="8"/>
          <w:szCs w:val="8"/>
        </w:rPr>
        <w:t xml:space="preserve"/>
      </w:r>
    </w:p>
    <w:p>
      <w:pPr>
        <w:pStyle w:val="Heading2"/>
        <w:spacing w:after="100" w:before="120"/>
      </w:pPr>
      <w:r>
        <w:rPr>
          <w:b/>
          <w:bCs/>
          <w:color w:val="1B3A5C"/>
          <w:sz w:val="24"/>
          <w:szCs w:val="24"/>
        </w:rPr>
        <w:t xml:space="preserve">Responsibility key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W w:type="dxa" w:w="1400"/>
            <w:tcBorders>
              <w:top w:val="single" w:color="BFBFBF" w:sz="1"/>
              <w:left w:val="single" w:color="BFBFBF" w:sz="1"/>
              <w:bottom w:val="single" w:color="BFBFBF" w:sz="1"/>
              <w:right w:val="single" w:color="BFBFBF" w:sz="1"/>
            </w:tcBorders>
            <w:shd w:fill="E3EAF0" w:val="clear"/>
            <w:tcMar>
              <w:top w:type="dxa" w:w="80"/>
              <w:left w:type="dxa" w:w="120"/>
              <w:bottom w:type="dxa" w:w="80"/>
              <w:right w:type="dxa" w:w="120"/>
            </w:tcMar>
            <w:vAlign w:val="center"/>
          </w:tcPr>
          <w:p>
            <w:pPr>
              <w:spacing w:after="0" w:before="0"/>
              <w:jc w:val="center"/>
            </w:pPr>
            <w:r>
              <w:rPr>
                <w:b/>
                <w:bCs/>
                <w:color w:val="1B3A5C"/>
                <w:sz w:val="20"/>
                <w:szCs w:val="20"/>
              </w:rPr>
              <w:t xml:space="preserve">Cura</w:t>
            </w:r>
          </w:p>
        </w:tc>
        <w:tc>
          <w:tcPr>
            <w:tcW w:type="dxa" w:w="7626"/>
            <w:tcBorders>
              <w:top w:val="single" w:color="BFBFBF" w:sz="1"/>
              <w:left w:val="single" w:color="BFBFBF" w:sz="1"/>
              <w:bottom w:val="single" w:color="BFBFBF" w:sz="1"/>
              <w:right w:val="single" w:color="BFBFBF" w:sz="1"/>
            </w:tcBorders>
            <w:tcMar>
              <w:top w:type="dxa" w:w="80"/>
              <w:left w:type="dxa" w:w="120"/>
              <w:bottom w:type="dxa" w:w="80"/>
              <w:right w:type="dxa" w:w="120"/>
            </w:tcMar>
            <w:vAlign w:val="center"/>
          </w:tcPr>
          <w:p>
            <w:pPr>
              <w:spacing w:after="0" w:before="0"/>
            </w:pPr>
            <w:r>
              <w:rPr>
                <w:sz w:val="20"/>
                <w:szCs w:val="20"/>
              </w:rPr>
              <w:t xml:space="preserve">Cura Compliance UK delivers this work.</w:t>
            </w:r>
          </w:p>
        </w:tc>
      </w:tr>
      <w:tr>
        <w:tc>
          <w:tcPr>
            <w:tcW w:type="dxa" w:w="1400"/>
            <w:tcBorders>
              <w:top w:val="single" w:color="BFBFBF" w:sz="1"/>
              <w:left w:val="single" w:color="BFBFBF" w:sz="1"/>
              <w:bottom w:val="single" w:color="BFBFBF" w:sz="1"/>
              <w:right w:val="single" w:color="BFBFBF" w:sz="1"/>
            </w:tcBorders>
            <w:shd w:fill="E0EFF1" w:val="clear"/>
            <w:tcMar>
              <w:top w:type="dxa" w:w="80"/>
              <w:left w:type="dxa" w:w="120"/>
              <w:bottom w:type="dxa" w:w="80"/>
              <w:right w:type="dxa" w:w="120"/>
            </w:tcMar>
            <w:vAlign w:val="center"/>
          </w:tcPr>
          <w:p>
            <w:pPr>
              <w:spacing w:after="0" w:before="0"/>
              <w:jc w:val="center"/>
            </w:pPr>
            <w:r>
              <w:rPr>
                <w:b/>
                <w:bCs/>
                <w:color w:val="1B3A5C"/>
                <w:sz w:val="20"/>
                <w:szCs w:val="20"/>
              </w:rPr>
              <w:t xml:space="preserve">Provider</w:t>
            </w:r>
          </w:p>
        </w:tc>
        <w:tc>
          <w:tcPr>
            <w:tcW w:type="dxa" w:w="7626"/>
            <w:tcBorders>
              <w:top w:val="single" w:color="BFBFBF" w:sz="1"/>
              <w:left w:val="single" w:color="BFBFBF" w:sz="1"/>
              <w:bottom w:val="single" w:color="BFBFBF" w:sz="1"/>
              <w:right w:val="single" w:color="BFBFBF" w:sz="1"/>
            </w:tcBorders>
            <w:tcMar>
              <w:top w:type="dxa" w:w="80"/>
              <w:left w:type="dxa" w:w="120"/>
              <w:bottom w:type="dxa" w:w="80"/>
              <w:right w:type="dxa" w:w="120"/>
            </w:tcMar>
            <w:vAlign w:val="center"/>
          </w:tcPr>
          <w:p>
            <w:pPr>
              <w:spacing w:after="0" w:before="0"/>
            </w:pPr>
            <w:r>
              <w:rPr>
                <w:sz w:val="20"/>
                <w:szCs w:val="20"/>
              </w:rPr>
              <w:t xml:space="preserve">Provider action required. Cura advises, guides and reviews throughout, but only the provider can complete it.</w:t>
            </w:r>
          </w:p>
        </w:tc>
      </w:tr>
      <w:tr>
        <w:tc>
          <w:tcPr>
            <w:tcW w:type="dxa" w:w="1400"/>
            <w:tcBorders>
              <w:top w:val="single" w:color="BFBFBF" w:sz="1"/>
              <w:left w:val="single" w:color="BFBFBF" w:sz="1"/>
              <w:bottom w:val="single" w:color="BFBFBF" w:sz="1"/>
              <w:right w:val="single" w:color="BFBFBF" w:sz="1"/>
            </w:tcBorders>
            <w:shd w:fill="EFEFEF" w:val="clear"/>
            <w:tcMar>
              <w:top w:type="dxa" w:w="80"/>
              <w:left w:type="dxa" w:w="120"/>
              <w:bottom w:type="dxa" w:w="80"/>
              <w:right w:type="dxa" w:w="120"/>
            </w:tcMar>
            <w:vAlign w:val="center"/>
          </w:tcPr>
          <w:p>
            <w:pPr>
              <w:spacing w:after="0" w:before="0"/>
              <w:jc w:val="center"/>
            </w:pPr>
            <w:r>
              <w:rPr>
                <w:b/>
                <w:bCs/>
                <w:color w:val="1B3A5C"/>
                <w:sz w:val="20"/>
                <w:szCs w:val="20"/>
              </w:rPr>
              <w:t xml:space="preserve">Both</w:t>
            </w:r>
          </w:p>
        </w:tc>
        <w:tc>
          <w:tcPr>
            <w:tcW w:type="dxa" w:w="7626"/>
            <w:tcBorders>
              <w:top w:val="single" w:color="BFBFBF" w:sz="1"/>
              <w:left w:val="single" w:color="BFBFBF" w:sz="1"/>
              <w:bottom w:val="single" w:color="BFBFBF" w:sz="1"/>
              <w:right w:val="single" w:color="BFBFBF" w:sz="1"/>
            </w:tcBorders>
            <w:tcMar>
              <w:top w:type="dxa" w:w="80"/>
              <w:left w:type="dxa" w:w="120"/>
              <w:bottom w:type="dxa" w:w="80"/>
              <w:right w:type="dxa" w:w="120"/>
            </w:tcMar>
            <w:vAlign w:val="center"/>
          </w:tcPr>
          <w:p>
            <w:pPr>
              <w:spacing w:after="0" w:before="0"/>
            </w:pPr>
            <w:r>
              <w:rPr>
                <w:sz w:val="20"/>
                <w:szCs w:val="20"/>
              </w:rPr>
              <w:t xml:space="preserve">Joint action — delivered together by Cura Compliance UK and the provider.</w:t>
            </w:r>
          </w:p>
        </w:tc>
      </w:tr>
      <w:tr>
        <w:tc>
          <w:tcPr>
            <w:tcW w:type="dxa" w:w="1400"/>
            <w:tcBorders>
              <w:top w:val="single" w:color="BFBFBF" w:sz="1"/>
              <w:left w:val="single" w:color="BFBFBF" w:sz="1"/>
              <w:bottom w:val="single" w:color="BFBFBF" w:sz="1"/>
              <w:right w:val="single" w:color="BFBFBF" w:sz="1"/>
            </w:tcBorders>
            <w:shd w:fill="FBEFD3" w:val="clear"/>
            <w:tcMar>
              <w:top w:type="dxa" w:w="80"/>
              <w:left w:type="dxa" w:w="120"/>
              <w:bottom w:type="dxa" w:w="80"/>
              <w:right w:type="dxa" w:w="120"/>
            </w:tcMar>
            <w:vAlign w:val="center"/>
          </w:tcPr>
          <w:p>
            <w:pPr>
              <w:spacing w:after="0" w:before="0"/>
              <w:jc w:val="center"/>
            </w:pPr>
            <w:r>
              <w:rPr>
                <w:b/>
                <w:bCs/>
                <w:color w:val="1B3A5C"/>
                <w:sz w:val="20"/>
                <w:szCs w:val="20"/>
              </w:rPr>
              <w:t xml:space="preserve">Optional</w:t>
            </w:r>
          </w:p>
        </w:tc>
        <w:tc>
          <w:tcPr>
            <w:tcW w:type="dxa" w:w="7626"/>
            <w:tcBorders>
              <w:top w:val="single" w:color="BFBFBF" w:sz="1"/>
              <w:left w:val="single" w:color="BFBFBF" w:sz="1"/>
              <w:bottom w:val="single" w:color="BFBFBF" w:sz="1"/>
              <w:right w:val="single" w:color="BFBFBF" w:sz="1"/>
            </w:tcBorders>
            <w:tcMar>
              <w:top w:type="dxa" w:w="80"/>
              <w:left w:type="dxa" w:w="120"/>
              <w:bottom w:type="dxa" w:w="80"/>
              <w:right w:type="dxa" w:w="120"/>
            </w:tcMar>
            <w:vAlign w:val="center"/>
          </w:tcPr>
          <w:p>
            <w:pPr>
              <w:spacing w:after="0" w:before="0"/>
            </w:pPr>
            <w:r>
              <w:rPr>
                <w:sz w:val="20"/>
                <w:szCs w:val="20"/>
              </w:rPr>
              <w:t xml:space="preserve">Available from Cura Compliance UK as a separate package — not included in the standard engagement.</w:t>
            </w:r>
          </w:p>
        </w:tc>
      </w:tr>
      <w:tr>
        <w:tc>
          <w:tcPr>
            <w:tcW w:type="dxa" w:w="1400"/>
            <w:tcBorders>
              <w:top w:val="single" w:color="BFBFBF" w:sz="1"/>
              <w:left w:val="single" w:color="BFBFBF" w:sz="1"/>
              <w:bottom w:val="single" w:color="BFBFBF" w:sz="1"/>
              <w:right w:val="single" w:color="BFBFBF" w:sz="1"/>
            </w:tcBorders>
            <w:shd w:fill="EDE7F2" w:val="clear"/>
            <w:tcMar>
              <w:top w:type="dxa" w:w="80"/>
              <w:left w:type="dxa" w:w="120"/>
              <w:bottom w:type="dxa" w:w="80"/>
              <w:right w:type="dxa" w:w="120"/>
            </w:tcMar>
            <w:vAlign w:val="center"/>
          </w:tcPr>
          <w:p>
            <w:pPr>
              <w:spacing w:after="0" w:before="0"/>
              <w:jc w:val="center"/>
            </w:pPr>
            <w:r>
              <w:rPr>
                <w:b/>
                <w:bCs/>
                <w:color w:val="1B3A5C"/>
                <w:sz w:val="20"/>
                <w:szCs w:val="20"/>
              </w:rPr>
              <w:t xml:space="preserve">CQC</w:t>
            </w:r>
          </w:p>
        </w:tc>
        <w:tc>
          <w:tcPr>
            <w:tcW w:type="dxa" w:w="7626"/>
            <w:tcBorders>
              <w:top w:val="single" w:color="BFBFBF" w:sz="1"/>
              <w:left w:val="single" w:color="BFBFBF" w:sz="1"/>
              <w:bottom w:val="single" w:color="BFBFBF" w:sz="1"/>
              <w:right w:val="single" w:color="BFBFBF" w:sz="1"/>
            </w:tcBorders>
            <w:tcMar>
              <w:top w:type="dxa" w:w="80"/>
              <w:left w:type="dxa" w:w="120"/>
              <w:bottom w:type="dxa" w:w="80"/>
              <w:right w:type="dxa" w:w="120"/>
            </w:tcMar>
            <w:vAlign w:val="center"/>
          </w:tcPr>
          <w:p>
            <w:pPr>
              <w:spacing w:after="0" w:before="0"/>
            </w:pPr>
            <w:r>
              <w:rPr>
                <w:sz w:val="20"/>
                <w:szCs w:val="20"/>
              </w:rPr>
              <w:t xml:space="preserve">Carried out by the Care Quality Commission. Neither the provider nor Cura completes this step.</w:t>
            </w:r>
          </w:p>
        </w:tc>
      </w:tr>
    </w:tbl>
    <w:p>
      <w:pPr>
        <w:spacing w:after="80" w:before="0"/>
      </w:pPr>
      <w:r>
        <w:rPr>
          <w:sz w:val="8"/>
          <w:szCs w:val="8"/>
        </w:rPr>
        <w:t xml:space="preserve"/>
      </w:r>
    </w:p>
    <w:p>
      <w:pPr>
        <w:pStyle w:val="Heading1"/>
        <w:spacing w:after="120" w:before="60"/>
      </w:pPr>
      <w:r>
        <w:rPr>
          <w:b/>
          <w:bCs/>
          <w:color w:val="1B3A5C"/>
          <w:sz w:val="28"/>
          <w:szCs w:val="28"/>
        </w:rPr>
        <w:t xml:space="preserve">Stage 1 — Building and submitting the application</w:t>
      </w:r>
    </w:p>
    <w:p>
      <w:pPr>
        <w:spacing w:after="120" w:before="0"/>
      </w:pPr>
      <w:r>
        <w:rPr>
          <w:color w:val="000000"/>
          <w:sz w:val="22"/>
          <w:szCs w:val="22"/>
        </w:rPr>
        <w:t xml:space="preserve">Phases 1 to 5 cover everything needed to build a complete, compliant application and submit it to CQC.</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426"/>
        <w:gridCol w:w="1600"/>
      </w:tblGrid>
      <w:tr>
        <w:trPr>
          <w:tblHeader/>
        </w:trPr>
        <w:tc>
          <w:tcPr>
            <w:tcW w:type="dxa" w:w="9026"/>
            <w:gridSpan w:val="2"/>
            <w:tcBorders>
              <w:top w:val="single" w:color="BFBFBF" w:sz="1"/>
              <w:left w:val="single" w:color="BFBFBF" w:sz="1"/>
              <w:bottom w:val="single" w:color="BFBFBF" w:sz="1"/>
              <w:right w:val="single" w:color="BFBFBF" w:sz="1"/>
            </w:tcBorders>
            <w:shd w:fill="1B3A5C" w:val="clear"/>
            <w:tcMar>
              <w:top w:type="dxa" w:w="80"/>
              <w:left w:type="dxa" w:w="120"/>
              <w:bottom w:type="dxa" w:w="80"/>
              <w:right w:type="dxa" w:w="120"/>
            </w:tcMar>
          </w:tcPr>
          <w:p>
            <w:pPr>
              <w:spacing w:after="20" w:before="20"/>
            </w:pPr>
            <w:r>
              <w:rPr>
                <w:b/>
                <w:bCs/>
                <w:color w:val="FFFFFF"/>
                <w:sz w:val="22"/>
                <w:szCs w:val="22"/>
              </w:rPr>
              <w:t xml:space="preserve">PHASE 1  —  FOUNDATIONS AND SERVICE DESIGN</w:t>
            </w:r>
          </w:p>
        </w:tc>
      </w:tr>
      <w:tr>
        <w:trPr>
          <w:tblHeader/>
        </w:trPr>
        <w:tc>
          <w:tcPr>
            <w:tcW w:type="dxa" w:w="7426"/>
            <w:tcBorders>
              <w:top w:val="single" w:color="BFBFBF" w:sz="1"/>
              <w:left w:val="single" w:color="BFBFBF" w:sz="1"/>
              <w:bottom w:val="single" w:color="BFBFBF" w:sz="1"/>
              <w:right w:val="single" w:color="BFBFBF" w:sz="1"/>
            </w:tcBorders>
            <w:shd w:fill="2E7D8C" w:val="clear"/>
            <w:tcMar>
              <w:top w:type="dxa" w:w="80"/>
              <w:left w:type="dxa" w:w="120"/>
              <w:bottom w:type="dxa" w:w="80"/>
              <w:right w:type="dxa" w:w="120"/>
            </w:tcMar>
          </w:tcPr>
          <w:p>
            <w:pPr>
              <w:spacing w:after="0" w:before="0"/>
            </w:pPr>
            <w:r>
              <w:rPr>
                <w:b/>
                <w:bCs/>
                <w:color w:val="FFFFFF"/>
                <w:sz w:val="20"/>
                <w:szCs w:val="20"/>
              </w:rPr>
              <w:t xml:space="preserve">Action</w:t>
            </w:r>
          </w:p>
        </w:tc>
        <w:tc>
          <w:tcPr>
            <w:tcW w:type="dxa" w:w="1600"/>
            <w:tcBorders>
              <w:top w:val="single" w:color="BFBFBF" w:sz="1"/>
              <w:left w:val="single" w:color="BFBFBF" w:sz="1"/>
              <w:bottom w:val="single" w:color="BFBFBF" w:sz="1"/>
              <w:right w:val="single" w:color="BFBFBF" w:sz="1"/>
            </w:tcBorders>
            <w:shd w:fill="2E7D8C" w:val="clear"/>
            <w:tcMar>
              <w:top w:type="dxa" w:w="80"/>
              <w:left w:type="dxa" w:w="120"/>
              <w:bottom w:type="dxa" w:w="80"/>
              <w:right w:type="dxa" w:w="120"/>
            </w:tcMar>
          </w:tcPr>
          <w:p>
            <w:pPr>
              <w:spacing w:after="0" w:before="0"/>
              <w:jc w:val="center"/>
            </w:pPr>
            <w:r>
              <w:rPr>
                <w:b/>
                <w:bCs/>
                <w:color w:val="FFFFFF"/>
                <w:sz w:val="20"/>
                <w:szCs w:val="20"/>
              </w:rPr>
              <w:t xml:space="preserve">Lead</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1.1  Company set-up and Companies House match</w:t>
            </w:r>
          </w:p>
          <w:p>
            <w:pPr>
              <w:spacing w:after="0" w:before="0"/>
            </w:pPr>
            <w:r>
              <w:rPr>
                <w:sz w:val="20"/>
                <w:szCs w:val="20"/>
              </w:rPr>
              <w:t xml:space="preserve">Establish or confirm the limited company (or partnership). For dental bodies corporate, GDC constitution requirements on directors also apply. The legal name must exactly match the CQC application.</w:t>
            </w:r>
          </w:p>
        </w:tc>
        <w:tc>
          <w:tcPr>
            <w:tcW w:type="dxa" w:w="1600"/>
            <w:tcBorders>
              <w:top w:val="single" w:color="BFBFBF" w:sz="1"/>
              <w:left w:val="single" w:color="BFBFBF" w:sz="1"/>
              <w:bottom w:val="single" w:color="BFBFBF" w:sz="1"/>
              <w:right w:val="single" w:color="BFBFBF" w:sz="1"/>
            </w:tcBorders>
            <w:shd w:fill="E0EFF1" w:val="clear"/>
            <w:tcMar>
              <w:top w:type="dxa" w:w="80"/>
              <w:left w:type="dxa" w:w="120"/>
              <w:bottom w:type="dxa" w:w="80"/>
              <w:right w:type="dxa" w:w="120"/>
            </w:tcMar>
            <w:vAlign w:val="center"/>
          </w:tcPr>
          <w:p>
            <w:pPr>
              <w:spacing w:after="0" w:before="0"/>
              <w:jc w:val="center"/>
            </w:pPr>
            <w:r>
              <w:rPr>
                <w:b/>
                <w:bCs/>
                <w:color w:val="1B3A5C"/>
                <w:sz w:val="20"/>
                <w:szCs w:val="20"/>
              </w:rPr>
              <w:t xml:space="preserve">Provider</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1.2  Define the service model</w:t>
            </w:r>
          </w:p>
          <w:p>
            <w:pPr>
              <w:spacing w:after="0" w:before="0"/>
            </w:pPr>
            <w:r>
              <w:rPr>
                <w:sz w:val="20"/>
                <w:szCs w:val="20"/>
              </w:rPr>
              <w:t xml:space="preserve">Agree the services: general and cosmetic dentistry, hygiene and therapy, implants, sedation (with the extra standards that brings), orthodontics, domiciliary dentistry, private/NHS mix. Cura maps these to the regulated activities — typically Treatment of disease, disorder or injury, Diagnostic and screening procedures and Surgical procedures.</w:t>
            </w:r>
          </w:p>
        </w:tc>
        <w:tc>
          <w:tcPr>
            <w:tcW w:type="dxa" w:w="1600"/>
            <w:tcBorders>
              <w:top w:val="single" w:color="BFBFBF" w:sz="1"/>
              <w:left w:val="single" w:color="BFBFBF" w:sz="1"/>
              <w:bottom w:val="single" w:color="BFBFBF" w:sz="1"/>
              <w:right w:val="single" w:color="BFBFBF" w:sz="1"/>
            </w:tcBorders>
            <w:shd w:fill="EFEFEF" w:val="clear"/>
            <w:tcMar>
              <w:top w:type="dxa" w:w="80"/>
              <w:left w:type="dxa" w:w="120"/>
              <w:bottom w:type="dxa" w:w="80"/>
              <w:right w:type="dxa" w:w="120"/>
            </w:tcMar>
            <w:vAlign w:val="center"/>
          </w:tcPr>
          <w:p>
            <w:pPr>
              <w:spacing w:after="0" w:before="0"/>
              <w:jc w:val="center"/>
            </w:pPr>
            <w:r>
              <w:rPr>
                <w:b/>
                <w:bCs/>
                <w:color w:val="1B3A5C"/>
                <w:sz w:val="20"/>
                <w:szCs w:val="20"/>
              </w:rPr>
              <w:t xml:space="preserve">Both</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1.3  Business plan and financial viability</w:t>
            </w:r>
          </w:p>
          <w:p>
            <w:pPr>
              <w:spacing w:after="0" w:before="0"/>
            </w:pPr>
            <w:r>
              <w:rPr>
                <w:sz w:val="20"/>
                <w:szCs w:val="20"/>
              </w:rPr>
              <w:t xml:space="preserve">Cura builds the full business plan and financial projections. The provider supplies funding evidence, fee income assumptions, costs and projections for years 1–2. Any NHS contract (via the ICB) is a separate workstream Cura can advise on.</w:t>
            </w:r>
          </w:p>
        </w:tc>
        <w:tc>
          <w:tcPr>
            <w:tcW w:type="dxa" w:w="1600"/>
            <w:tcBorders>
              <w:top w:val="single" w:color="BFBFBF" w:sz="1"/>
              <w:left w:val="single" w:color="BFBFBF" w:sz="1"/>
              <w:bottom w:val="single" w:color="BFBFBF" w:sz="1"/>
              <w:right w:val="single" w:color="BFBFBF" w:sz="1"/>
            </w:tcBorders>
            <w:shd w:fill="E3EAF0" w:val="clear"/>
            <w:tcMar>
              <w:top w:type="dxa" w:w="80"/>
              <w:left w:type="dxa" w:w="120"/>
              <w:bottom w:type="dxa" w:w="80"/>
              <w:right w:type="dxa" w:w="120"/>
            </w:tcMar>
            <w:vAlign w:val="center"/>
          </w:tcPr>
          <w:p>
            <w:pPr>
              <w:spacing w:after="0" w:before="0"/>
              <w:jc w:val="center"/>
            </w:pPr>
            <w:r>
              <w:rPr>
                <w:b/>
                <w:bCs/>
                <w:color w:val="1B3A5C"/>
                <w:sz w:val="20"/>
                <w:szCs w:val="20"/>
              </w:rPr>
              <w:t xml:space="preserve">Cura</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1.4  Secure and fit out the premises</w:t>
            </w:r>
          </w:p>
          <w:p>
            <w:pPr>
              <w:spacing w:after="0" w:before="0"/>
            </w:pPr>
            <w:r>
              <w:rPr>
                <w:sz w:val="20"/>
                <w:szCs w:val="20"/>
              </w:rPr>
              <w:t xml:space="preserve">Lease or purchase the practice premises and plan the fit-out: surgeries, decontamination room or zoned area, X-ray positioning and shielding, accessibility, and compressor/suction plant. Cura reviews the plan against HTM 01-05 before you commit to works.</w:t>
            </w:r>
          </w:p>
        </w:tc>
        <w:tc>
          <w:tcPr>
            <w:tcW w:type="dxa" w:w="1600"/>
            <w:tcBorders>
              <w:top w:val="single" w:color="BFBFBF" w:sz="1"/>
              <w:left w:val="single" w:color="BFBFBF" w:sz="1"/>
              <w:bottom w:val="single" w:color="BFBFBF" w:sz="1"/>
              <w:right w:val="single" w:color="BFBFBF" w:sz="1"/>
            </w:tcBorders>
            <w:shd w:fill="E0EFF1" w:val="clear"/>
            <w:tcMar>
              <w:top w:type="dxa" w:w="80"/>
              <w:left w:type="dxa" w:w="120"/>
              <w:bottom w:type="dxa" w:w="80"/>
              <w:right w:type="dxa" w:w="120"/>
            </w:tcMar>
            <w:vAlign w:val="center"/>
          </w:tcPr>
          <w:p>
            <w:pPr>
              <w:spacing w:after="0" w:before="0"/>
              <w:jc w:val="center"/>
            </w:pPr>
            <w:r>
              <w:rPr>
                <w:b/>
                <w:bCs/>
                <w:color w:val="1B3A5C"/>
                <w:sz w:val="20"/>
                <w:szCs w:val="20"/>
              </w:rPr>
              <w:t xml:space="preserve">Provider</w:t>
            </w:r>
          </w:p>
        </w:tc>
      </w:tr>
    </w:tbl>
    <w:p>
      <w:pPr>
        <w:spacing w:after="80" w:before="0"/>
      </w:pPr>
      <w:r>
        <w:rPr>
          <w:sz w:val="8"/>
          <w:szCs w:val="8"/>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426"/>
        <w:gridCol w:w="1600"/>
      </w:tblGrid>
      <w:tr>
        <w:trPr>
          <w:tblHeader/>
        </w:trPr>
        <w:tc>
          <w:tcPr>
            <w:tcW w:type="dxa" w:w="9026"/>
            <w:gridSpan w:val="2"/>
            <w:tcBorders>
              <w:top w:val="single" w:color="BFBFBF" w:sz="1"/>
              <w:left w:val="single" w:color="BFBFBF" w:sz="1"/>
              <w:bottom w:val="single" w:color="BFBFBF" w:sz="1"/>
              <w:right w:val="single" w:color="BFBFBF" w:sz="1"/>
            </w:tcBorders>
            <w:shd w:fill="1B3A5C" w:val="clear"/>
            <w:tcMar>
              <w:top w:type="dxa" w:w="80"/>
              <w:left w:type="dxa" w:w="120"/>
              <w:bottom w:type="dxa" w:w="80"/>
              <w:right w:type="dxa" w:w="120"/>
            </w:tcMar>
          </w:tcPr>
          <w:p>
            <w:pPr>
              <w:spacing w:after="20" w:before="20"/>
            </w:pPr>
            <w:r>
              <w:rPr>
                <w:b/>
                <w:bCs/>
                <w:color w:val="FFFFFF"/>
                <w:sz w:val="22"/>
                <w:szCs w:val="22"/>
              </w:rPr>
              <w:t xml:space="preserve">PHASE 2  —  PEOPLE AND MANAGEMENT</w:t>
            </w:r>
          </w:p>
        </w:tc>
      </w:tr>
      <w:tr>
        <w:trPr>
          <w:tblHeader/>
        </w:trPr>
        <w:tc>
          <w:tcPr>
            <w:tcW w:type="dxa" w:w="7426"/>
            <w:tcBorders>
              <w:top w:val="single" w:color="BFBFBF" w:sz="1"/>
              <w:left w:val="single" w:color="BFBFBF" w:sz="1"/>
              <w:bottom w:val="single" w:color="BFBFBF" w:sz="1"/>
              <w:right w:val="single" w:color="BFBFBF" w:sz="1"/>
            </w:tcBorders>
            <w:shd w:fill="2E7D8C" w:val="clear"/>
            <w:tcMar>
              <w:top w:type="dxa" w:w="80"/>
              <w:left w:type="dxa" w:w="120"/>
              <w:bottom w:type="dxa" w:w="80"/>
              <w:right w:type="dxa" w:w="120"/>
            </w:tcMar>
          </w:tcPr>
          <w:p>
            <w:pPr>
              <w:spacing w:after="0" w:before="0"/>
            </w:pPr>
            <w:r>
              <w:rPr>
                <w:b/>
                <w:bCs/>
                <w:color w:val="FFFFFF"/>
                <w:sz w:val="20"/>
                <w:szCs w:val="20"/>
              </w:rPr>
              <w:t xml:space="preserve">Action</w:t>
            </w:r>
          </w:p>
        </w:tc>
        <w:tc>
          <w:tcPr>
            <w:tcW w:type="dxa" w:w="1600"/>
            <w:tcBorders>
              <w:top w:val="single" w:color="BFBFBF" w:sz="1"/>
              <w:left w:val="single" w:color="BFBFBF" w:sz="1"/>
              <w:bottom w:val="single" w:color="BFBFBF" w:sz="1"/>
              <w:right w:val="single" w:color="BFBFBF" w:sz="1"/>
            </w:tcBorders>
            <w:shd w:fill="2E7D8C" w:val="clear"/>
            <w:tcMar>
              <w:top w:type="dxa" w:w="80"/>
              <w:left w:type="dxa" w:w="120"/>
              <w:bottom w:type="dxa" w:w="80"/>
              <w:right w:type="dxa" w:w="120"/>
            </w:tcMar>
          </w:tcPr>
          <w:p>
            <w:pPr>
              <w:spacing w:after="0" w:before="0"/>
              <w:jc w:val="center"/>
            </w:pPr>
            <w:r>
              <w:rPr>
                <w:b/>
                <w:bCs/>
                <w:color w:val="FFFFFF"/>
                <w:sz w:val="20"/>
                <w:szCs w:val="20"/>
              </w:rPr>
              <w:t xml:space="preserve">Lead</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2.1  Appoint the Registered Manager</w:t>
            </w:r>
          </w:p>
          <w:p>
            <w:pPr>
              <w:spacing w:after="0" w:before="0"/>
            </w:pPr>
            <w:r>
              <w:rPr>
                <w:sz w:val="20"/>
                <w:szCs w:val="20"/>
              </w:rPr>
              <w:t xml:space="preserve">Appoint a manager with the competence and authority to run the practice — often the principal dentist or an experienced practice manager. The Registered Manager application, CQC-countersigned DBS, employment history and references must all be ready.</w:t>
            </w:r>
          </w:p>
        </w:tc>
        <w:tc>
          <w:tcPr>
            <w:tcW w:type="dxa" w:w="1600"/>
            <w:tcBorders>
              <w:top w:val="single" w:color="BFBFBF" w:sz="1"/>
              <w:left w:val="single" w:color="BFBFBF" w:sz="1"/>
              <w:bottom w:val="single" w:color="BFBFBF" w:sz="1"/>
              <w:right w:val="single" w:color="BFBFBF" w:sz="1"/>
            </w:tcBorders>
            <w:shd w:fill="E0EFF1" w:val="clear"/>
            <w:tcMar>
              <w:top w:type="dxa" w:w="80"/>
              <w:left w:type="dxa" w:w="120"/>
              <w:bottom w:type="dxa" w:w="80"/>
              <w:right w:type="dxa" w:w="120"/>
            </w:tcMar>
            <w:vAlign w:val="center"/>
          </w:tcPr>
          <w:p>
            <w:pPr>
              <w:spacing w:after="0" w:before="0"/>
              <w:jc w:val="center"/>
            </w:pPr>
            <w:r>
              <w:rPr>
                <w:b/>
                <w:bCs/>
                <w:color w:val="1B3A5C"/>
                <w:sz w:val="20"/>
                <w:szCs w:val="20"/>
              </w:rPr>
              <w:t xml:space="preserve">Provider</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2.2  Confirm the Nominated Individual</w:t>
            </w:r>
          </w:p>
          <w:p>
            <w:pPr>
              <w:spacing w:after="0" w:before="0"/>
            </w:pPr>
            <w:r>
              <w:rPr>
                <w:sz w:val="20"/>
                <w:szCs w:val="20"/>
              </w:rPr>
              <w:t xml:space="preserve">The Nominated Individual supervises the management of the regulated activity on behalf of the provider organisation and must be a director, manager or secretary of the company.</w:t>
            </w:r>
          </w:p>
        </w:tc>
        <w:tc>
          <w:tcPr>
            <w:tcW w:type="dxa" w:w="1600"/>
            <w:tcBorders>
              <w:top w:val="single" w:color="BFBFBF" w:sz="1"/>
              <w:left w:val="single" w:color="BFBFBF" w:sz="1"/>
              <w:bottom w:val="single" w:color="BFBFBF" w:sz="1"/>
              <w:right w:val="single" w:color="BFBFBF" w:sz="1"/>
            </w:tcBorders>
            <w:shd w:fill="E0EFF1" w:val="clear"/>
            <w:tcMar>
              <w:top w:type="dxa" w:w="80"/>
              <w:left w:type="dxa" w:w="120"/>
              <w:bottom w:type="dxa" w:w="80"/>
              <w:right w:type="dxa" w:w="120"/>
            </w:tcMar>
            <w:vAlign w:val="center"/>
          </w:tcPr>
          <w:p>
            <w:pPr>
              <w:spacing w:after="0" w:before="0"/>
              <w:jc w:val="center"/>
            </w:pPr>
            <w:r>
              <w:rPr>
                <w:b/>
                <w:bCs/>
                <w:color w:val="1B3A5C"/>
                <w:sz w:val="20"/>
                <w:szCs w:val="20"/>
              </w:rPr>
              <w:t xml:space="preserve">Provider</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2.3  GDC registration and indemnity</w:t>
            </w:r>
          </w:p>
          <w:p>
            <w:pPr>
              <w:spacing w:after="0" w:before="0"/>
            </w:pPr>
            <w:r>
              <w:rPr>
                <w:sz w:val="20"/>
                <w:szCs w:val="20"/>
              </w:rPr>
              <w:t xml:space="preserve">Verify GDC registration and appropriate indemnity for every dentist, hygienist, therapist and dental nurse, with evidence on file, plus scope-of-practice and CPD records.</w:t>
            </w:r>
          </w:p>
        </w:tc>
        <w:tc>
          <w:tcPr>
            <w:tcW w:type="dxa" w:w="1600"/>
            <w:tcBorders>
              <w:top w:val="single" w:color="BFBFBF" w:sz="1"/>
              <w:left w:val="single" w:color="BFBFBF" w:sz="1"/>
              <w:bottom w:val="single" w:color="BFBFBF" w:sz="1"/>
              <w:right w:val="single" w:color="BFBFBF" w:sz="1"/>
            </w:tcBorders>
            <w:shd w:fill="E0EFF1" w:val="clear"/>
            <w:tcMar>
              <w:top w:type="dxa" w:w="80"/>
              <w:left w:type="dxa" w:w="120"/>
              <w:bottom w:type="dxa" w:w="80"/>
              <w:right w:type="dxa" w:w="120"/>
            </w:tcMar>
            <w:vAlign w:val="center"/>
          </w:tcPr>
          <w:p>
            <w:pPr>
              <w:spacing w:after="0" w:before="0"/>
              <w:jc w:val="center"/>
            </w:pPr>
            <w:r>
              <w:rPr>
                <w:b/>
                <w:bCs/>
                <w:color w:val="1B3A5C"/>
                <w:sz w:val="20"/>
                <w:szCs w:val="20"/>
              </w:rPr>
              <w:t xml:space="preserve">Provider</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2.4  Immunisations and occupational health</w:t>
            </w:r>
          </w:p>
          <w:p>
            <w:pPr>
              <w:spacing w:after="0" w:before="0"/>
            </w:pPr>
            <w:r>
              <w:rPr>
                <w:sz w:val="20"/>
                <w:szCs w:val="20"/>
              </w:rPr>
              <w:t xml:space="preserve">Hepatitis B immunity evidence for clinical staff, exposure-prone procedure clearances where relevant, and a sharps/inoculation injury procedure.</w:t>
            </w:r>
          </w:p>
        </w:tc>
        <w:tc>
          <w:tcPr>
            <w:tcW w:type="dxa" w:w="1600"/>
            <w:tcBorders>
              <w:top w:val="single" w:color="BFBFBF" w:sz="1"/>
              <w:left w:val="single" w:color="BFBFBF" w:sz="1"/>
              <w:bottom w:val="single" w:color="BFBFBF" w:sz="1"/>
              <w:right w:val="single" w:color="BFBFBF" w:sz="1"/>
            </w:tcBorders>
            <w:shd w:fill="E0EFF1" w:val="clear"/>
            <w:tcMar>
              <w:top w:type="dxa" w:w="80"/>
              <w:left w:type="dxa" w:w="120"/>
              <w:bottom w:type="dxa" w:w="80"/>
              <w:right w:type="dxa" w:w="120"/>
            </w:tcMar>
            <w:vAlign w:val="center"/>
          </w:tcPr>
          <w:p>
            <w:pPr>
              <w:spacing w:after="0" w:before="0"/>
              <w:jc w:val="center"/>
            </w:pPr>
            <w:r>
              <w:rPr>
                <w:b/>
                <w:bCs/>
                <w:color w:val="1B3A5C"/>
                <w:sz w:val="20"/>
                <w:szCs w:val="20"/>
              </w:rPr>
              <w:t xml:space="preserve">Provider</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2.5  Training matrix and recruitment files</w:t>
            </w:r>
          </w:p>
          <w:p>
            <w:pPr>
              <w:spacing w:after="0" w:before="0"/>
            </w:pPr>
            <w:r>
              <w:rPr>
                <w:sz w:val="20"/>
                <w:szCs w:val="20"/>
              </w:rPr>
              <w:t xml:space="preserve">Safer recruitment (Schedule 3) files for all staff, plus a training matrix: medical emergencies and BLS (annual, Resuscitation Council standards), safeguarding children and adults, IPC, radiography CPD for IR(ME)R duty holders. Cura defines the matrix; the provider arranges delivery.</w:t>
            </w:r>
          </w:p>
        </w:tc>
        <w:tc>
          <w:tcPr>
            <w:tcW w:type="dxa" w:w="1600"/>
            <w:tcBorders>
              <w:top w:val="single" w:color="BFBFBF" w:sz="1"/>
              <w:left w:val="single" w:color="BFBFBF" w:sz="1"/>
              <w:bottom w:val="single" w:color="BFBFBF" w:sz="1"/>
              <w:right w:val="single" w:color="BFBFBF" w:sz="1"/>
            </w:tcBorders>
            <w:shd w:fill="EFEFEF" w:val="clear"/>
            <w:tcMar>
              <w:top w:type="dxa" w:w="80"/>
              <w:left w:type="dxa" w:w="120"/>
              <w:bottom w:type="dxa" w:w="80"/>
              <w:right w:type="dxa" w:w="120"/>
            </w:tcMar>
            <w:vAlign w:val="center"/>
          </w:tcPr>
          <w:p>
            <w:pPr>
              <w:spacing w:after="0" w:before="0"/>
              <w:jc w:val="center"/>
            </w:pPr>
            <w:r>
              <w:rPr>
                <w:b/>
                <w:bCs/>
                <w:color w:val="1B3A5C"/>
                <w:sz w:val="20"/>
                <w:szCs w:val="20"/>
              </w:rPr>
              <w:t xml:space="preserve">Both</w:t>
            </w:r>
          </w:p>
        </w:tc>
      </w:tr>
    </w:tbl>
    <w:p>
      <w:pPr>
        <w:spacing w:after="80" w:before="0"/>
      </w:pPr>
      <w:r>
        <w:rPr>
          <w:sz w:val="8"/>
          <w:szCs w:val="8"/>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426"/>
        <w:gridCol w:w="1600"/>
      </w:tblGrid>
      <w:tr>
        <w:trPr>
          <w:tblHeader/>
        </w:trPr>
        <w:tc>
          <w:tcPr>
            <w:tcW w:type="dxa" w:w="9026"/>
            <w:gridSpan w:val="2"/>
            <w:tcBorders>
              <w:top w:val="single" w:color="BFBFBF" w:sz="1"/>
              <w:left w:val="single" w:color="BFBFBF" w:sz="1"/>
              <w:bottom w:val="single" w:color="BFBFBF" w:sz="1"/>
              <w:right w:val="single" w:color="BFBFBF" w:sz="1"/>
            </w:tcBorders>
            <w:shd w:fill="1B3A5C" w:val="clear"/>
            <w:tcMar>
              <w:top w:type="dxa" w:w="80"/>
              <w:left w:type="dxa" w:w="120"/>
              <w:bottom w:type="dxa" w:w="80"/>
              <w:right w:type="dxa" w:w="120"/>
            </w:tcMar>
          </w:tcPr>
          <w:p>
            <w:pPr>
              <w:spacing w:after="20" w:before="20"/>
            </w:pPr>
            <w:r>
              <w:rPr>
                <w:b/>
                <w:bCs/>
                <w:color w:val="FFFFFF"/>
                <w:sz w:val="22"/>
                <w:szCs w:val="22"/>
              </w:rPr>
              <w:t xml:space="preserve">PHASE 3  —  PREMISES, DECONTAMINATION AND RADIOGRAPHY</w:t>
            </w:r>
          </w:p>
        </w:tc>
      </w:tr>
      <w:tr>
        <w:trPr>
          <w:tblHeader/>
        </w:trPr>
        <w:tc>
          <w:tcPr>
            <w:tcW w:type="dxa" w:w="7426"/>
            <w:tcBorders>
              <w:top w:val="single" w:color="BFBFBF" w:sz="1"/>
              <w:left w:val="single" w:color="BFBFBF" w:sz="1"/>
              <w:bottom w:val="single" w:color="BFBFBF" w:sz="1"/>
              <w:right w:val="single" w:color="BFBFBF" w:sz="1"/>
            </w:tcBorders>
            <w:shd w:fill="2E7D8C" w:val="clear"/>
            <w:tcMar>
              <w:top w:type="dxa" w:w="80"/>
              <w:left w:type="dxa" w:w="120"/>
              <w:bottom w:type="dxa" w:w="80"/>
              <w:right w:type="dxa" w:w="120"/>
            </w:tcMar>
          </w:tcPr>
          <w:p>
            <w:pPr>
              <w:spacing w:after="0" w:before="0"/>
            </w:pPr>
            <w:r>
              <w:rPr>
                <w:b/>
                <w:bCs/>
                <w:color w:val="FFFFFF"/>
                <w:sz w:val="20"/>
                <w:szCs w:val="20"/>
              </w:rPr>
              <w:t xml:space="preserve">Action</w:t>
            </w:r>
          </w:p>
        </w:tc>
        <w:tc>
          <w:tcPr>
            <w:tcW w:type="dxa" w:w="1600"/>
            <w:tcBorders>
              <w:top w:val="single" w:color="BFBFBF" w:sz="1"/>
              <w:left w:val="single" w:color="BFBFBF" w:sz="1"/>
              <w:bottom w:val="single" w:color="BFBFBF" w:sz="1"/>
              <w:right w:val="single" w:color="BFBFBF" w:sz="1"/>
            </w:tcBorders>
            <w:shd w:fill="2E7D8C" w:val="clear"/>
            <w:tcMar>
              <w:top w:type="dxa" w:w="80"/>
              <w:left w:type="dxa" w:w="120"/>
              <w:bottom w:type="dxa" w:w="80"/>
              <w:right w:type="dxa" w:w="120"/>
            </w:tcMar>
          </w:tcPr>
          <w:p>
            <w:pPr>
              <w:spacing w:after="0" w:before="0"/>
              <w:jc w:val="center"/>
            </w:pPr>
            <w:r>
              <w:rPr>
                <w:b/>
                <w:bCs/>
                <w:color w:val="FFFFFF"/>
                <w:sz w:val="20"/>
                <w:szCs w:val="20"/>
              </w:rPr>
              <w:t xml:space="preserve">Lead</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3.1  HTM 01-05 decontamination</w:t>
            </w:r>
          </w:p>
          <w:p>
            <w:pPr>
              <w:spacing w:after="0" w:before="0"/>
            </w:pPr>
            <w:r>
              <w:rPr>
                <w:sz w:val="20"/>
                <w:szCs w:val="20"/>
              </w:rPr>
              <w:t xml:space="preserve">Washer-disinfector and autoclave installed, validated and logged; dirty-to-clean workflow; instrument storage and date-stamping; decontamination lead appointed and audits scheduled.</w:t>
            </w:r>
          </w:p>
        </w:tc>
        <w:tc>
          <w:tcPr>
            <w:tcW w:type="dxa" w:w="1600"/>
            <w:tcBorders>
              <w:top w:val="single" w:color="BFBFBF" w:sz="1"/>
              <w:left w:val="single" w:color="BFBFBF" w:sz="1"/>
              <w:bottom w:val="single" w:color="BFBFBF" w:sz="1"/>
              <w:right w:val="single" w:color="BFBFBF" w:sz="1"/>
            </w:tcBorders>
            <w:shd w:fill="E0EFF1" w:val="clear"/>
            <w:tcMar>
              <w:top w:type="dxa" w:w="80"/>
              <w:left w:type="dxa" w:w="120"/>
              <w:bottom w:type="dxa" w:w="80"/>
              <w:right w:type="dxa" w:w="120"/>
            </w:tcMar>
            <w:vAlign w:val="center"/>
          </w:tcPr>
          <w:p>
            <w:pPr>
              <w:spacing w:after="0" w:before="0"/>
              <w:jc w:val="center"/>
            </w:pPr>
            <w:r>
              <w:rPr>
                <w:b/>
                <w:bCs/>
                <w:color w:val="1B3A5C"/>
                <w:sz w:val="20"/>
                <w:szCs w:val="20"/>
              </w:rPr>
              <w:t xml:space="preserve">Provider</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3.2  Radiography compliance</w:t>
            </w:r>
          </w:p>
          <w:p>
            <w:pPr>
              <w:spacing w:after="0" w:before="0"/>
            </w:pPr>
            <w:r>
              <w:rPr>
                <w:sz w:val="20"/>
                <w:szCs w:val="20"/>
              </w:rPr>
              <w:t xml:space="preserve">HSE registration under IRR17, Radiation Protection Adviser and Radiation Protection Supervisor appointed, local rules displayed, IR(ME)R17 employer procedures and entitlement lists, equipment acceptance testing and QA programme. Cura prepares the IR(ME)R procedure pack; the provider commissions the RPA and HSE registration.</w:t>
            </w:r>
          </w:p>
        </w:tc>
        <w:tc>
          <w:tcPr>
            <w:tcW w:type="dxa" w:w="1600"/>
            <w:tcBorders>
              <w:top w:val="single" w:color="BFBFBF" w:sz="1"/>
              <w:left w:val="single" w:color="BFBFBF" w:sz="1"/>
              <w:bottom w:val="single" w:color="BFBFBF" w:sz="1"/>
              <w:right w:val="single" w:color="BFBFBF" w:sz="1"/>
            </w:tcBorders>
            <w:shd w:fill="EFEFEF" w:val="clear"/>
            <w:tcMar>
              <w:top w:type="dxa" w:w="80"/>
              <w:left w:type="dxa" w:w="120"/>
              <w:bottom w:type="dxa" w:w="80"/>
              <w:right w:type="dxa" w:w="120"/>
            </w:tcMar>
            <w:vAlign w:val="center"/>
          </w:tcPr>
          <w:p>
            <w:pPr>
              <w:spacing w:after="0" w:before="0"/>
              <w:jc w:val="center"/>
            </w:pPr>
            <w:r>
              <w:rPr>
                <w:b/>
                <w:bCs/>
                <w:color w:val="1B3A5C"/>
                <w:sz w:val="20"/>
                <w:szCs w:val="20"/>
              </w:rPr>
              <w:t xml:space="preserve">Both</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3.3  Medical emergencies readiness</w:t>
            </w:r>
          </w:p>
          <w:p>
            <w:pPr>
              <w:spacing w:after="0" w:before="0"/>
            </w:pPr>
            <w:r>
              <w:rPr>
                <w:sz w:val="20"/>
                <w:szCs w:val="20"/>
              </w:rPr>
              <w:t xml:space="preserve">Emergency drugs kit and oxygen to Resuscitation Council UK dental standards, AED on site, checked and logged, with all staff trained in medical emergencies.</w:t>
            </w:r>
          </w:p>
        </w:tc>
        <w:tc>
          <w:tcPr>
            <w:tcW w:type="dxa" w:w="1600"/>
            <w:tcBorders>
              <w:top w:val="single" w:color="BFBFBF" w:sz="1"/>
              <w:left w:val="single" w:color="BFBFBF" w:sz="1"/>
              <w:bottom w:val="single" w:color="BFBFBF" w:sz="1"/>
              <w:right w:val="single" w:color="BFBFBF" w:sz="1"/>
            </w:tcBorders>
            <w:shd w:fill="E0EFF1" w:val="clear"/>
            <w:tcMar>
              <w:top w:type="dxa" w:w="80"/>
              <w:left w:type="dxa" w:w="120"/>
              <w:bottom w:type="dxa" w:w="80"/>
              <w:right w:type="dxa" w:w="120"/>
            </w:tcMar>
            <w:vAlign w:val="center"/>
          </w:tcPr>
          <w:p>
            <w:pPr>
              <w:spacing w:after="0" w:before="0"/>
              <w:jc w:val="center"/>
            </w:pPr>
            <w:r>
              <w:rPr>
                <w:b/>
                <w:bCs/>
                <w:color w:val="1B3A5C"/>
                <w:sz w:val="20"/>
                <w:szCs w:val="20"/>
              </w:rPr>
              <w:t xml:space="preserve">Provider</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3.4  IPC and waste</w:t>
            </w:r>
          </w:p>
          <w:p>
            <w:pPr>
              <w:spacing w:after="0" w:before="0"/>
            </w:pPr>
            <w:r>
              <w:rPr>
                <w:sz w:val="20"/>
                <w:szCs w:val="20"/>
              </w:rPr>
              <w:t xml:space="preserve">IPC policy and audit, legionella risk assessment and dental unit waterline management, sharps arrangements, amalgam separation, and clinical waste contract (HTM 07-01).</w:t>
            </w:r>
          </w:p>
        </w:tc>
        <w:tc>
          <w:tcPr>
            <w:tcW w:type="dxa" w:w="1600"/>
            <w:tcBorders>
              <w:top w:val="single" w:color="BFBFBF" w:sz="1"/>
              <w:left w:val="single" w:color="BFBFBF" w:sz="1"/>
              <w:bottom w:val="single" w:color="BFBFBF" w:sz="1"/>
              <w:right w:val="single" w:color="BFBFBF" w:sz="1"/>
            </w:tcBorders>
            <w:shd w:fill="EFEFEF" w:val="clear"/>
            <w:tcMar>
              <w:top w:type="dxa" w:w="80"/>
              <w:left w:type="dxa" w:w="120"/>
              <w:bottom w:type="dxa" w:w="80"/>
              <w:right w:type="dxa" w:w="120"/>
            </w:tcMar>
            <w:vAlign w:val="center"/>
          </w:tcPr>
          <w:p>
            <w:pPr>
              <w:spacing w:after="0" w:before="0"/>
              <w:jc w:val="center"/>
            </w:pPr>
            <w:r>
              <w:rPr>
                <w:b/>
                <w:bCs/>
                <w:color w:val="1B3A5C"/>
                <w:sz w:val="20"/>
                <w:szCs w:val="20"/>
              </w:rPr>
              <w:t xml:space="preserve">Both</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3.5  Premises safety and insurance</w:t>
            </w:r>
          </w:p>
          <w:p>
            <w:pPr>
              <w:spacing w:after="0" w:before="0"/>
            </w:pPr>
            <w:r>
              <w:rPr>
                <w:sz w:val="20"/>
                <w:szCs w:val="20"/>
              </w:rPr>
              <w:t xml:space="preserve">Fire risk assessment, gas and electrical (EICR) certificates, compressor and autoclave pressure-vessel written schemes of examination, health and safety risk assessment, and premises, employer’s and public liability insurance.</w:t>
            </w:r>
          </w:p>
        </w:tc>
        <w:tc>
          <w:tcPr>
            <w:tcW w:type="dxa" w:w="1600"/>
            <w:tcBorders>
              <w:top w:val="single" w:color="BFBFBF" w:sz="1"/>
              <w:left w:val="single" w:color="BFBFBF" w:sz="1"/>
              <w:bottom w:val="single" w:color="BFBFBF" w:sz="1"/>
              <w:right w:val="single" w:color="BFBFBF" w:sz="1"/>
            </w:tcBorders>
            <w:shd w:fill="E0EFF1" w:val="clear"/>
            <w:tcMar>
              <w:top w:type="dxa" w:w="80"/>
              <w:left w:type="dxa" w:w="120"/>
              <w:bottom w:type="dxa" w:w="80"/>
              <w:right w:type="dxa" w:w="120"/>
            </w:tcMar>
            <w:vAlign w:val="center"/>
          </w:tcPr>
          <w:p>
            <w:pPr>
              <w:spacing w:after="0" w:before="0"/>
              <w:jc w:val="center"/>
            </w:pPr>
            <w:r>
              <w:rPr>
                <w:b/>
                <w:bCs/>
                <w:color w:val="1B3A5C"/>
                <w:sz w:val="20"/>
                <w:szCs w:val="20"/>
              </w:rPr>
              <w:t xml:space="preserve">Provider</w:t>
            </w:r>
          </w:p>
        </w:tc>
      </w:tr>
    </w:tbl>
    <w:p>
      <w:pPr>
        <w:spacing w:after="80" w:before="0"/>
      </w:pPr>
      <w:r>
        <w:rPr>
          <w:sz w:val="8"/>
          <w:szCs w:val="8"/>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426"/>
        <w:gridCol w:w="1600"/>
      </w:tblGrid>
      <w:tr>
        <w:trPr>
          <w:tblHeader/>
        </w:trPr>
        <w:tc>
          <w:tcPr>
            <w:tcW w:type="dxa" w:w="9026"/>
            <w:gridSpan w:val="2"/>
            <w:tcBorders>
              <w:top w:val="single" w:color="BFBFBF" w:sz="1"/>
              <w:left w:val="single" w:color="BFBFBF" w:sz="1"/>
              <w:bottom w:val="single" w:color="BFBFBF" w:sz="1"/>
              <w:right w:val="single" w:color="BFBFBF" w:sz="1"/>
            </w:tcBorders>
            <w:shd w:fill="1B3A5C" w:val="clear"/>
            <w:tcMar>
              <w:top w:type="dxa" w:w="80"/>
              <w:left w:type="dxa" w:w="120"/>
              <w:bottom w:type="dxa" w:w="80"/>
              <w:right w:type="dxa" w:w="120"/>
            </w:tcMar>
          </w:tcPr>
          <w:p>
            <w:pPr>
              <w:spacing w:after="20" w:before="20"/>
            </w:pPr>
            <w:r>
              <w:rPr>
                <w:b/>
                <w:bCs/>
                <w:color w:val="FFFFFF"/>
                <w:sz w:val="22"/>
                <w:szCs w:val="22"/>
              </w:rPr>
              <w:t xml:space="preserve">PHASE 4  —  DOCUMENTATION</w:t>
            </w:r>
          </w:p>
        </w:tc>
      </w:tr>
      <w:tr>
        <w:trPr>
          <w:tblHeader/>
        </w:trPr>
        <w:tc>
          <w:tcPr>
            <w:tcW w:type="dxa" w:w="7426"/>
            <w:tcBorders>
              <w:top w:val="single" w:color="BFBFBF" w:sz="1"/>
              <w:left w:val="single" w:color="BFBFBF" w:sz="1"/>
              <w:bottom w:val="single" w:color="BFBFBF" w:sz="1"/>
              <w:right w:val="single" w:color="BFBFBF" w:sz="1"/>
            </w:tcBorders>
            <w:shd w:fill="2E7D8C" w:val="clear"/>
            <w:tcMar>
              <w:top w:type="dxa" w:w="80"/>
              <w:left w:type="dxa" w:w="120"/>
              <w:bottom w:type="dxa" w:w="80"/>
              <w:right w:type="dxa" w:w="120"/>
            </w:tcMar>
          </w:tcPr>
          <w:p>
            <w:pPr>
              <w:spacing w:after="0" w:before="0"/>
            </w:pPr>
            <w:r>
              <w:rPr>
                <w:b/>
                <w:bCs/>
                <w:color w:val="FFFFFF"/>
                <w:sz w:val="20"/>
                <w:szCs w:val="20"/>
              </w:rPr>
              <w:t xml:space="preserve">Action</w:t>
            </w:r>
          </w:p>
        </w:tc>
        <w:tc>
          <w:tcPr>
            <w:tcW w:type="dxa" w:w="1600"/>
            <w:tcBorders>
              <w:top w:val="single" w:color="BFBFBF" w:sz="1"/>
              <w:left w:val="single" w:color="BFBFBF" w:sz="1"/>
              <w:bottom w:val="single" w:color="BFBFBF" w:sz="1"/>
              <w:right w:val="single" w:color="BFBFBF" w:sz="1"/>
            </w:tcBorders>
            <w:shd w:fill="2E7D8C" w:val="clear"/>
            <w:tcMar>
              <w:top w:type="dxa" w:w="80"/>
              <w:left w:type="dxa" w:w="120"/>
              <w:bottom w:type="dxa" w:w="80"/>
              <w:right w:type="dxa" w:w="120"/>
            </w:tcMar>
          </w:tcPr>
          <w:p>
            <w:pPr>
              <w:spacing w:after="0" w:before="0"/>
              <w:jc w:val="center"/>
            </w:pPr>
            <w:r>
              <w:rPr>
                <w:b/>
                <w:bCs/>
                <w:color w:val="FFFFFF"/>
                <w:sz w:val="20"/>
                <w:szCs w:val="20"/>
              </w:rPr>
              <w:t xml:space="preserve">Lead</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4.1  Statement of Purpose</w:t>
            </w:r>
          </w:p>
          <w:p>
            <w:pPr>
              <w:spacing w:after="0" w:before="0"/>
            </w:pPr>
            <w:r>
              <w:rPr>
                <w:sz w:val="20"/>
                <w:szCs w:val="20"/>
              </w:rPr>
              <w:t xml:space="preserve">Cura writes the Statement of Purpose covering aims and objectives, the regulated activities, service user bands, the practice location and management structure.</w:t>
            </w:r>
          </w:p>
        </w:tc>
        <w:tc>
          <w:tcPr>
            <w:tcW w:type="dxa" w:w="1600"/>
            <w:tcBorders>
              <w:top w:val="single" w:color="BFBFBF" w:sz="1"/>
              <w:left w:val="single" w:color="BFBFBF" w:sz="1"/>
              <w:bottom w:val="single" w:color="BFBFBF" w:sz="1"/>
              <w:right w:val="single" w:color="BFBFBF" w:sz="1"/>
            </w:tcBorders>
            <w:shd w:fill="E3EAF0" w:val="clear"/>
            <w:tcMar>
              <w:top w:type="dxa" w:w="80"/>
              <w:left w:type="dxa" w:w="120"/>
              <w:bottom w:type="dxa" w:w="80"/>
              <w:right w:type="dxa" w:w="120"/>
            </w:tcMar>
            <w:vAlign w:val="center"/>
          </w:tcPr>
          <w:p>
            <w:pPr>
              <w:spacing w:after="0" w:before="0"/>
              <w:jc w:val="center"/>
            </w:pPr>
            <w:r>
              <w:rPr>
                <w:b/>
                <w:bCs/>
                <w:color w:val="1B3A5C"/>
                <w:sz w:val="20"/>
                <w:szCs w:val="20"/>
              </w:rPr>
              <w:t xml:space="preserve">Cura</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4.2  Policies and procedures</w:t>
            </w:r>
          </w:p>
          <w:p>
            <w:pPr>
              <w:spacing w:after="0" w:before="0"/>
            </w:pPr>
            <w:r>
              <w:rPr>
                <w:sz w:val="20"/>
                <w:szCs w:val="20"/>
              </w:rPr>
              <w:t xml:space="preserve">Fully tailored suite: safeguarding children and adults, consent, IPC and decontamination, radiography and local rules, medical emergencies, medicines and prescriptions, complaints, duty of candour, record keeping, recruitment, chaperoning, whistleblowing, and more. Full list available on our website.</w:t>
            </w:r>
          </w:p>
        </w:tc>
        <w:tc>
          <w:tcPr>
            <w:tcW w:type="dxa" w:w="1600"/>
            <w:tcBorders>
              <w:top w:val="single" w:color="BFBFBF" w:sz="1"/>
              <w:left w:val="single" w:color="BFBFBF" w:sz="1"/>
              <w:bottom w:val="single" w:color="BFBFBF" w:sz="1"/>
              <w:right w:val="single" w:color="BFBFBF" w:sz="1"/>
            </w:tcBorders>
            <w:shd w:fill="E3EAF0" w:val="clear"/>
            <w:tcMar>
              <w:top w:type="dxa" w:w="80"/>
              <w:left w:type="dxa" w:w="120"/>
              <w:bottom w:type="dxa" w:w="80"/>
              <w:right w:type="dxa" w:w="120"/>
            </w:tcMar>
            <w:vAlign w:val="center"/>
          </w:tcPr>
          <w:p>
            <w:pPr>
              <w:spacing w:after="0" w:before="0"/>
              <w:jc w:val="center"/>
            </w:pPr>
            <w:r>
              <w:rPr>
                <w:b/>
                <w:bCs/>
                <w:color w:val="1B3A5C"/>
                <w:sz w:val="20"/>
                <w:szCs w:val="20"/>
              </w:rPr>
              <w:t xml:space="preserve">Cura</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4.3  Governance framework</w:t>
            </w:r>
          </w:p>
          <w:p>
            <w:pPr>
              <w:spacing w:after="0" w:before="0"/>
            </w:pPr>
            <w:r>
              <w:rPr>
                <w:sz w:val="20"/>
                <w:szCs w:val="20"/>
              </w:rPr>
              <w:t xml:space="preserve">Audit programme (IPC, radiography QA, record keeping), significant event analysis, safety alert handling (MHRA/CAS), staff meetings and appraisal — documented and ready to describe at interview. ICO registration and patient information governance included.</w:t>
            </w:r>
          </w:p>
        </w:tc>
        <w:tc>
          <w:tcPr>
            <w:tcW w:type="dxa" w:w="1600"/>
            <w:tcBorders>
              <w:top w:val="single" w:color="BFBFBF" w:sz="1"/>
              <w:left w:val="single" w:color="BFBFBF" w:sz="1"/>
              <w:bottom w:val="single" w:color="BFBFBF" w:sz="1"/>
              <w:right w:val="single" w:color="BFBFBF" w:sz="1"/>
            </w:tcBorders>
            <w:shd w:fill="E3EAF0" w:val="clear"/>
            <w:tcMar>
              <w:top w:type="dxa" w:w="80"/>
              <w:left w:type="dxa" w:w="120"/>
              <w:bottom w:type="dxa" w:w="80"/>
              <w:right w:type="dxa" w:w="120"/>
            </w:tcMar>
            <w:vAlign w:val="center"/>
          </w:tcPr>
          <w:p>
            <w:pPr>
              <w:spacing w:after="0" w:before="0"/>
              <w:jc w:val="center"/>
            </w:pPr>
            <w:r>
              <w:rPr>
                <w:b/>
                <w:bCs/>
                <w:color w:val="1B3A5C"/>
                <w:sz w:val="20"/>
                <w:szCs w:val="20"/>
              </w:rPr>
              <w:t xml:space="preserve">Cura</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4.4  Shared document review</w:t>
            </w:r>
          </w:p>
          <w:p>
            <w:pPr>
              <w:spacing w:after="0" w:before="0"/>
            </w:pPr>
            <w:r>
              <w:rPr>
                <w:sz w:val="20"/>
                <w:szCs w:val="20"/>
              </w:rPr>
              <w:t xml:space="preserve">Cura uploads each chapter to a shared Google Drive folder as it is completed; the provider reviews and confirms that every document accurately reflects the practice.</w:t>
            </w:r>
          </w:p>
        </w:tc>
        <w:tc>
          <w:tcPr>
            <w:tcW w:type="dxa" w:w="1600"/>
            <w:tcBorders>
              <w:top w:val="single" w:color="BFBFBF" w:sz="1"/>
              <w:left w:val="single" w:color="BFBFBF" w:sz="1"/>
              <w:bottom w:val="single" w:color="BFBFBF" w:sz="1"/>
              <w:right w:val="single" w:color="BFBFBF" w:sz="1"/>
            </w:tcBorders>
            <w:shd w:fill="EFEFEF" w:val="clear"/>
            <w:tcMar>
              <w:top w:type="dxa" w:w="80"/>
              <w:left w:type="dxa" w:w="120"/>
              <w:bottom w:type="dxa" w:w="80"/>
              <w:right w:type="dxa" w:w="120"/>
            </w:tcMar>
            <w:vAlign w:val="center"/>
          </w:tcPr>
          <w:p>
            <w:pPr>
              <w:spacing w:after="0" w:before="0"/>
              <w:jc w:val="center"/>
            </w:pPr>
            <w:r>
              <w:rPr>
                <w:b/>
                <w:bCs/>
                <w:color w:val="1B3A5C"/>
                <w:sz w:val="20"/>
                <w:szCs w:val="20"/>
              </w:rPr>
              <w:t xml:space="preserve">Both</w:t>
            </w:r>
          </w:p>
        </w:tc>
      </w:tr>
    </w:tbl>
    <w:p>
      <w:pPr>
        <w:spacing w:after="80" w:before="0"/>
      </w:pPr>
      <w:r>
        <w:rPr>
          <w:sz w:val="8"/>
          <w:szCs w:val="8"/>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426"/>
        <w:gridCol w:w="1600"/>
      </w:tblGrid>
      <w:tr>
        <w:trPr>
          <w:tblHeader/>
        </w:trPr>
        <w:tc>
          <w:tcPr>
            <w:tcW w:type="dxa" w:w="9026"/>
            <w:gridSpan w:val="2"/>
            <w:tcBorders>
              <w:top w:val="single" w:color="BFBFBF" w:sz="1"/>
              <w:left w:val="single" w:color="BFBFBF" w:sz="1"/>
              <w:bottom w:val="single" w:color="BFBFBF" w:sz="1"/>
              <w:right w:val="single" w:color="BFBFBF" w:sz="1"/>
            </w:tcBorders>
            <w:shd w:fill="1B3A5C" w:val="clear"/>
            <w:tcMar>
              <w:top w:type="dxa" w:w="80"/>
              <w:left w:type="dxa" w:w="120"/>
              <w:bottom w:type="dxa" w:w="80"/>
              <w:right w:type="dxa" w:w="120"/>
            </w:tcMar>
          </w:tcPr>
          <w:p>
            <w:pPr>
              <w:spacing w:after="20" w:before="20"/>
            </w:pPr>
            <w:r>
              <w:rPr>
                <w:b/>
                <w:bCs/>
                <w:color w:val="FFFFFF"/>
                <w:sz w:val="22"/>
                <w:szCs w:val="22"/>
              </w:rPr>
              <w:t xml:space="preserve">PHASE 5  —  APPLICATION SUBMISSION</w:t>
            </w:r>
          </w:p>
        </w:tc>
      </w:tr>
      <w:tr>
        <w:trPr>
          <w:tblHeader/>
        </w:trPr>
        <w:tc>
          <w:tcPr>
            <w:tcW w:type="dxa" w:w="7426"/>
            <w:tcBorders>
              <w:top w:val="single" w:color="BFBFBF" w:sz="1"/>
              <w:left w:val="single" w:color="BFBFBF" w:sz="1"/>
              <w:bottom w:val="single" w:color="BFBFBF" w:sz="1"/>
              <w:right w:val="single" w:color="BFBFBF" w:sz="1"/>
            </w:tcBorders>
            <w:shd w:fill="2E7D8C" w:val="clear"/>
            <w:tcMar>
              <w:top w:type="dxa" w:w="80"/>
              <w:left w:type="dxa" w:w="120"/>
              <w:bottom w:type="dxa" w:w="80"/>
              <w:right w:type="dxa" w:w="120"/>
            </w:tcMar>
          </w:tcPr>
          <w:p>
            <w:pPr>
              <w:spacing w:after="0" w:before="0"/>
            </w:pPr>
            <w:r>
              <w:rPr>
                <w:b/>
                <w:bCs/>
                <w:color w:val="FFFFFF"/>
                <w:sz w:val="20"/>
                <w:szCs w:val="20"/>
              </w:rPr>
              <w:t xml:space="preserve">Action</w:t>
            </w:r>
          </w:p>
        </w:tc>
        <w:tc>
          <w:tcPr>
            <w:tcW w:type="dxa" w:w="1600"/>
            <w:tcBorders>
              <w:top w:val="single" w:color="BFBFBF" w:sz="1"/>
              <w:left w:val="single" w:color="BFBFBF" w:sz="1"/>
              <w:bottom w:val="single" w:color="BFBFBF" w:sz="1"/>
              <w:right w:val="single" w:color="BFBFBF" w:sz="1"/>
            </w:tcBorders>
            <w:shd w:fill="2E7D8C" w:val="clear"/>
            <w:tcMar>
              <w:top w:type="dxa" w:w="80"/>
              <w:left w:type="dxa" w:w="120"/>
              <w:bottom w:type="dxa" w:w="80"/>
              <w:right w:type="dxa" w:w="120"/>
            </w:tcMar>
          </w:tcPr>
          <w:p>
            <w:pPr>
              <w:spacing w:after="0" w:before="0"/>
              <w:jc w:val="center"/>
            </w:pPr>
            <w:r>
              <w:rPr>
                <w:b/>
                <w:bCs/>
                <w:color w:val="FFFFFF"/>
                <w:sz w:val="20"/>
                <w:szCs w:val="20"/>
              </w:rPr>
              <w:t xml:space="preserve">Lead</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5.1  Provider application</w:t>
            </w:r>
          </w:p>
          <w:p>
            <w:pPr>
              <w:spacing w:after="0" w:before="0"/>
            </w:pPr>
            <w:r>
              <w:rPr>
                <w:sz w:val="20"/>
                <w:szCs w:val="20"/>
              </w:rPr>
              <w:t xml:space="preserve">Cura completes the new provider application — regulated activities, location, service types and service user bands — from the provider’s information, and the provider reviews it before submission.</w:t>
            </w:r>
          </w:p>
        </w:tc>
        <w:tc>
          <w:tcPr>
            <w:tcW w:type="dxa" w:w="1600"/>
            <w:tcBorders>
              <w:top w:val="single" w:color="BFBFBF" w:sz="1"/>
              <w:left w:val="single" w:color="BFBFBF" w:sz="1"/>
              <w:bottom w:val="single" w:color="BFBFBF" w:sz="1"/>
              <w:right w:val="single" w:color="BFBFBF" w:sz="1"/>
            </w:tcBorders>
            <w:shd w:fill="EFEFEF" w:val="clear"/>
            <w:tcMar>
              <w:top w:type="dxa" w:w="80"/>
              <w:left w:type="dxa" w:w="120"/>
              <w:bottom w:type="dxa" w:w="80"/>
              <w:right w:type="dxa" w:w="120"/>
            </w:tcMar>
            <w:vAlign w:val="center"/>
          </w:tcPr>
          <w:p>
            <w:pPr>
              <w:spacing w:after="0" w:before="0"/>
              <w:jc w:val="center"/>
            </w:pPr>
            <w:r>
              <w:rPr>
                <w:b/>
                <w:bCs/>
                <w:color w:val="1B3A5C"/>
                <w:sz w:val="20"/>
                <w:szCs w:val="20"/>
              </w:rPr>
              <w:t xml:space="preserve">Both</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5.2  Registered Manager application</w:t>
            </w:r>
          </w:p>
          <w:p>
            <w:pPr>
              <w:spacing w:after="0" w:before="0"/>
            </w:pPr>
            <w:r>
              <w:rPr>
                <w:sz w:val="20"/>
                <w:szCs w:val="20"/>
              </w:rPr>
              <w:t xml:space="preserve">The Registered Manager’s own application, submitted alongside the provider application. Cura completes the form; the manager supplies personal details, employment history, references and GP details, and completes the CQC-countersigned DBS.</w:t>
            </w:r>
          </w:p>
        </w:tc>
        <w:tc>
          <w:tcPr>
            <w:tcW w:type="dxa" w:w="1600"/>
            <w:tcBorders>
              <w:top w:val="single" w:color="BFBFBF" w:sz="1"/>
              <w:left w:val="single" w:color="BFBFBF" w:sz="1"/>
              <w:bottom w:val="single" w:color="BFBFBF" w:sz="1"/>
              <w:right w:val="single" w:color="BFBFBF" w:sz="1"/>
            </w:tcBorders>
            <w:shd w:fill="EFEFEF" w:val="clear"/>
            <w:tcMar>
              <w:top w:type="dxa" w:w="80"/>
              <w:left w:type="dxa" w:w="120"/>
              <w:bottom w:type="dxa" w:w="80"/>
              <w:right w:type="dxa" w:w="120"/>
            </w:tcMar>
            <w:vAlign w:val="center"/>
          </w:tcPr>
          <w:p>
            <w:pPr>
              <w:spacing w:after="0" w:before="0"/>
              <w:jc w:val="center"/>
            </w:pPr>
            <w:r>
              <w:rPr>
                <w:b/>
                <w:bCs/>
                <w:color w:val="1B3A5C"/>
                <w:sz w:val="20"/>
                <w:szCs w:val="20"/>
              </w:rPr>
              <w:t xml:space="preserve">Both</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5.3  Supporting evidence</w:t>
            </w:r>
          </w:p>
          <w:p>
            <w:pPr>
              <w:spacing w:after="0" w:before="0"/>
            </w:pPr>
            <w:r>
              <w:rPr>
                <w:sz w:val="20"/>
                <w:szCs w:val="20"/>
              </w:rPr>
              <w:t xml:space="preserve">Statement of Purpose, financial viability evidence, indemnity confirmations and any requested documents prepared and attached in the required format.</w:t>
            </w:r>
          </w:p>
        </w:tc>
        <w:tc>
          <w:tcPr>
            <w:tcW w:type="dxa" w:w="1600"/>
            <w:tcBorders>
              <w:top w:val="single" w:color="BFBFBF" w:sz="1"/>
              <w:left w:val="single" w:color="BFBFBF" w:sz="1"/>
              <w:bottom w:val="single" w:color="BFBFBF" w:sz="1"/>
              <w:right w:val="single" w:color="BFBFBF" w:sz="1"/>
            </w:tcBorders>
            <w:shd w:fill="E3EAF0" w:val="clear"/>
            <w:tcMar>
              <w:top w:type="dxa" w:w="80"/>
              <w:left w:type="dxa" w:w="120"/>
              <w:bottom w:type="dxa" w:w="80"/>
              <w:right w:type="dxa" w:w="120"/>
            </w:tcMar>
            <w:vAlign w:val="center"/>
          </w:tcPr>
          <w:p>
            <w:pPr>
              <w:spacing w:after="0" w:before="0"/>
              <w:jc w:val="center"/>
            </w:pPr>
            <w:r>
              <w:rPr>
                <w:b/>
                <w:bCs/>
                <w:color w:val="1B3A5C"/>
                <w:sz w:val="20"/>
                <w:szCs w:val="20"/>
              </w:rPr>
              <w:t xml:space="preserve">Cura</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5.4  Final review and submission</w:t>
            </w:r>
          </w:p>
          <w:p>
            <w:pPr>
              <w:spacing w:after="0" w:before="0"/>
            </w:pPr>
            <w:r>
              <w:rPr>
                <w:sz w:val="20"/>
                <w:szCs w:val="20"/>
              </w:rPr>
              <w:t xml:space="preserve">Cura conducts a full consistency and compliance review of every form and document before submitting the complete application to CQC.</w:t>
            </w:r>
          </w:p>
        </w:tc>
        <w:tc>
          <w:tcPr>
            <w:tcW w:type="dxa" w:w="1600"/>
            <w:tcBorders>
              <w:top w:val="single" w:color="BFBFBF" w:sz="1"/>
              <w:left w:val="single" w:color="BFBFBF" w:sz="1"/>
              <w:bottom w:val="single" w:color="BFBFBF" w:sz="1"/>
              <w:right w:val="single" w:color="BFBFBF" w:sz="1"/>
            </w:tcBorders>
            <w:shd w:fill="E3EAF0" w:val="clear"/>
            <w:tcMar>
              <w:top w:type="dxa" w:w="80"/>
              <w:left w:type="dxa" w:w="120"/>
              <w:bottom w:type="dxa" w:w="80"/>
              <w:right w:type="dxa" w:w="120"/>
            </w:tcMar>
            <w:vAlign w:val="center"/>
          </w:tcPr>
          <w:p>
            <w:pPr>
              <w:spacing w:after="0" w:before="0"/>
              <w:jc w:val="center"/>
            </w:pPr>
            <w:r>
              <w:rPr>
                <w:b/>
                <w:bCs/>
                <w:color w:val="1B3A5C"/>
                <w:sz w:val="20"/>
                <w:szCs w:val="20"/>
              </w:rPr>
              <w:t xml:space="preserve">Cura</w:t>
            </w:r>
          </w:p>
        </w:tc>
      </w:tr>
    </w:tbl>
    <w:p>
      <w:pPr>
        <w:spacing w:after="80" w:before="0"/>
      </w:pPr>
      <w:r>
        <w:rPr>
          <w:sz w:val="8"/>
          <w:szCs w:val="8"/>
        </w:rPr>
        <w:t xml:space="preserve"/>
      </w:r>
    </w:p>
    <w:p>
      <w:pPr>
        <w:pStyle w:val="Heading1"/>
        <w:spacing w:after="120" w:before="60"/>
      </w:pPr>
      <w:r>
        <w:rPr>
          <w:b/>
          <w:bCs/>
          <w:color w:val="1B3A5C"/>
          <w:sz w:val="28"/>
          <w:szCs w:val="28"/>
        </w:rPr>
        <w:t xml:space="preserve">Stage 2 — Support through to successful registration</w:t>
      </w:r>
    </w:p>
    <w:p>
      <w:pPr>
        <w:spacing w:after="120" w:before="0"/>
      </w:pPr>
      <w:r>
        <w:rPr>
          <w:color w:val="000000"/>
          <w:sz w:val="22"/>
          <w:szCs w:val="22"/>
        </w:rPr>
        <w:t xml:space="preserve">Phase 6 covers the assessment, the interviews, and the decision. This is where Cura’s preparation and advice are most valuable.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426"/>
        <w:gridCol w:w="1600"/>
      </w:tblGrid>
      <w:tr>
        <w:trPr>
          <w:tblHeader/>
        </w:trPr>
        <w:tc>
          <w:tcPr>
            <w:tcW w:type="dxa" w:w="9026"/>
            <w:gridSpan w:val="2"/>
            <w:tcBorders>
              <w:top w:val="single" w:color="BFBFBF" w:sz="1"/>
              <w:left w:val="single" w:color="BFBFBF" w:sz="1"/>
              <w:bottom w:val="single" w:color="BFBFBF" w:sz="1"/>
              <w:right w:val="single" w:color="BFBFBF" w:sz="1"/>
            </w:tcBorders>
            <w:shd w:fill="1B3A5C" w:val="clear"/>
            <w:tcMar>
              <w:top w:type="dxa" w:w="80"/>
              <w:left w:type="dxa" w:w="120"/>
              <w:bottom w:type="dxa" w:w="80"/>
              <w:right w:type="dxa" w:w="120"/>
            </w:tcMar>
          </w:tcPr>
          <w:p>
            <w:pPr>
              <w:spacing w:after="20" w:before="20"/>
            </w:pPr>
            <w:r>
              <w:rPr>
                <w:b/>
                <w:bCs/>
                <w:color w:val="FFFFFF"/>
                <w:sz w:val="22"/>
                <w:szCs w:val="22"/>
              </w:rPr>
              <w:t xml:space="preserve">PHASE 6  —  ASSESSMENT, INTERVIEWS AND DECISION</w:t>
            </w:r>
          </w:p>
        </w:tc>
      </w:tr>
      <w:tr>
        <w:trPr>
          <w:tblHeader/>
        </w:trPr>
        <w:tc>
          <w:tcPr>
            <w:tcW w:type="dxa" w:w="7426"/>
            <w:tcBorders>
              <w:top w:val="single" w:color="BFBFBF" w:sz="1"/>
              <w:left w:val="single" w:color="BFBFBF" w:sz="1"/>
              <w:bottom w:val="single" w:color="BFBFBF" w:sz="1"/>
              <w:right w:val="single" w:color="BFBFBF" w:sz="1"/>
            </w:tcBorders>
            <w:shd w:fill="2E7D8C" w:val="clear"/>
            <w:tcMar>
              <w:top w:type="dxa" w:w="80"/>
              <w:left w:type="dxa" w:w="120"/>
              <w:bottom w:type="dxa" w:w="80"/>
              <w:right w:type="dxa" w:w="120"/>
            </w:tcMar>
          </w:tcPr>
          <w:p>
            <w:pPr>
              <w:spacing w:after="0" w:before="0"/>
            </w:pPr>
            <w:r>
              <w:rPr>
                <w:b/>
                <w:bCs/>
                <w:color w:val="FFFFFF"/>
                <w:sz w:val="20"/>
                <w:szCs w:val="20"/>
              </w:rPr>
              <w:t xml:space="preserve">Action</w:t>
            </w:r>
          </w:p>
        </w:tc>
        <w:tc>
          <w:tcPr>
            <w:tcW w:type="dxa" w:w="1600"/>
            <w:tcBorders>
              <w:top w:val="single" w:color="BFBFBF" w:sz="1"/>
              <w:left w:val="single" w:color="BFBFBF" w:sz="1"/>
              <w:bottom w:val="single" w:color="BFBFBF" w:sz="1"/>
              <w:right w:val="single" w:color="BFBFBF" w:sz="1"/>
            </w:tcBorders>
            <w:shd w:fill="2E7D8C" w:val="clear"/>
            <w:tcMar>
              <w:top w:type="dxa" w:w="80"/>
              <w:left w:type="dxa" w:w="120"/>
              <w:bottom w:type="dxa" w:w="80"/>
              <w:right w:type="dxa" w:w="120"/>
            </w:tcMar>
          </w:tcPr>
          <w:p>
            <w:pPr>
              <w:spacing w:after="0" w:before="0"/>
              <w:jc w:val="center"/>
            </w:pPr>
            <w:r>
              <w:rPr>
                <w:b/>
                <w:bCs/>
                <w:color w:val="FFFFFF"/>
                <w:sz w:val="20"/>
                <w:szCs w:val="20"/>
              </w:rPr>
              <w:t xml:space="preserve">Lead</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6.1  Application adjustments and resubmissions</w:t>
            </w:r>
          </w:p>
          <w:p>
            <w:pPr>
              <w:spacing w:after="0" w:before="0"/>
            </w:pPr>
            <w:r>
              <w:rPr>
                <w:sz w:val="20"/>
                <w:szCs w:val="20"/>
              </w:rPr>
              <w:t xml:space="preserve">Under CQC’s stricter acceptance regime, applications can be rejected for any legal error. Cura expects this and handles all required adjustments and resubmissions until the application is accepted by a Registration Inspector.</w:t>
            </w:r>
          </w:p>
        </w:tc>
        <w:tc>
          <w:tcPr>
            <w:tcW w:type="dxa" w:w="1600"/>
            <w:tcBorders>
              <w:top w:val="single" w:color="BFBFBF" w:sz="1"/>
              <w:left w:val="single" w:color="BFBFBF" w:sz="1"/>
              <w:bottom w:val="single" w:color="BFBFBF" w:sz="1"/>
              <w:right w:val="single" w:color="BFBFBF" w:sz="1"/>
            </w:tcBorders>
            <w:shd w:fill="E3EAF0" w:val="clear"/>
            <w:tcMar>
              <w:top w:type="dxa" w:w="80"/>
              <w:left w:type="dxa" w:w="120"/>
              <w:bottom w:type="dxa" w:w="80"/>
              <w:right w:type="dxa" w:w="120"/>
            </w:tcMar>
            <w:vAlign w:val="center"/>
          </w:tcPr>
          <w:p>
            <w:pPr>
              <w:spacing w:after="0" w:before="0"/>
              <w:jc w:val="center"/>
            </w:pPr>
            <w:r>
              <w:rPr>
                <w:b/>
                <w:bCs/>
                <w:color w:val="1B3A5C"/>
                <w:sz w:val="20"/>
                <w:szCs w:val="20"/>
              </w:rPr>
              <w:t xml:space="preserve">Cura</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6.2  Ongoing follow-up</w:t>
            </w:r>
          </w:p>
          <w:p>
            <w:pPr>
              <w:spacing w:after="0" w:before="0"/>
            </w:pPr>
            <w:r>
              <w:rPr>
                <w:sz w:val="20"/>
                <w:szCs w:val="20"/>
              </w:rPr>
              <w:t xml:space="preserve">We follow up with CQC on your behalf throughout the assessment. If the inspector requests further information, we manage the response.</w:t>
            </w:r>
          </w:p>
        </w:tc>
        <w:tc>
          <w:tcPr>
            <w:tcW w:type="dxa" w:w="1600"/>
            <w:tcBorders>
              <w:top w:val="single" w:color="BFBFBF" w:sz="1"/>
              <w:left w:val="single" w:color="BFBFBF" w:sz="1"/>
              <w:bottom w:val="single" w:color="BFBFBF" w:sz="1"/>
              <w:right w:val="single" w:color="BFBFBF" w:sz="1"/>
            </w:tcBorders>
            <w:shd w:fill="E3EAF0" w:val="clear"/>
            <w:tcMar>
              <w:top w:type="dxa" w:w="80"/>
              <w:left w:type="dxa" w:w="120"/>
              <w:bottom w:type="dxa" w:w="80"/>
              <w:right w:type="dxa" w:w="120"/>
            </w:tcMar>
            <w:vAlign w:val="center"/>
          </w:tcPr>
          <w:p>
            <w:pPr>
              <w:spacing w:after="0" w:before="0"/>
              <w:jc w:val="center"/>
            </w:pPr>
            <w:r>
              <w:rPr>
                <w:b/>
                <w:bCs/>
                <w:color w:val="1B3A5C"/>
                <w:sz w:val="20"/>
                <w:szCs w:val="20"/>
              </w:rPr>
              <w:t xml:space="preserve">Cura</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6.3  Mock interviews</w:t>
            </w:r>
          </w:p>
          <w:p>
            <w:pPr>
              <w:spacing w:after="0" w:before="0"/>
            </w:pPr>
            <w:r>
              <w:rPr>
                <w:sz w:val="20"/>
                <w:szCs w:val="20"/>
              </w:rPr>
              <w:t xml:space="preserve">Mock fitness interviews for the Registered Manager and Nominated Individual, with detailed, critical feedback on HTM 01-05, radiography, medical emergencies, safeguarding and the fundamental standards.</w:t>
            </w:r>
          </w:p>
        </w:tc>
        <w:tc>
          <w:tcPr>
            <w:tcW w:type="dxa" w:w="1600"/>
            <w:tcBorders>
              <w:top w:val="single" w:color="BFBFBF" w:sz="1"/>
              <w:left w:val="single" w:color="BFBFBF" w:sz="1"/>
              <w:bottom w:val="single" w:color="BFBFBF" w:sz="1"/>
              <w:right w:val="single" w:color="BFBFBF" w:sz="1"/>
            </w:tcBorders>
            <w:shd w:fill="E3EAF0" w:val="clear"/>
            <w:tcMar>
              <w:top w:type="dxa" w:w="80"/>
              <w:left w:type="dxa" w:w="120"/>
              <w:bottom w:type="dxa" w:w="80"/>
              <w:right w:type="dxa" w:w="120"/>
            </w:tcMar>
            <w:vAlign w:val="center"/>
          </w:tcPr>
          <w:p>
            <w:pPr>
              <w:spacing w:after="0" w:before="0"/>
              <w:jc w:val="center"/>
            </w:pPr>
            <w:r>
              <w:rPr>
                <w:b/>
                <w:bCs/>
                <w:color w:val="1B3A5C"/>
                <w:sz w:val="20"/>
                <w:szCs w:val="20"/>
              </w:rPr>
              <w:t xml:space="preserve">Cura</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6.4  Registration interview</w:t>
            </w:r>
          </w:p>
          <w:p>
            <w:pPr>
              <w:spacing w:after="0" w:before="0"/>
            </w:pPr>
            <w:r>
              <w:rPr>
                <w:sz w:val="20"/>
                <w:szCs w:val="20"/>
              </w:rPr>
              <w:t xml:space="preserve">CQC interviews the Registered Manager (and may speak to the Nominated Individual). Expect questions on decontamination, radiography governance, emergency readiness and how quality is monitored.</w:t>
            </w:r>
          </w:p>
        </w:tc>
        <w:tc>
          <w:tcPr>
            <w:tcW w:type="dxa" w:w="1600"/>
            <w:tcBorders>
              <w:top w:val="single" w:color="BFBFBF" w:sz="1"/>
              <w:left w:val="single" w:color="BFBFBF" w:sz="1"/>
              <w:bottom w:val="single" w:color="BFBFBF" w:sz="1"/>
              <w:right w:val="single" w:color="BFBFBF" w:sz="1"/>
            </w:tcBorders>
            <w:shd w:fill="E0EFF1" w:val="clear"/>
            <w:tcMar>
              <w:top w:type="dxa" w:w="80"/>
              <w:left w:type="dxa" w:w="120"/>
              <w:bottom w:type="dxa" w:w="80"/>
              <w:right w:type="dxa" w:w="120"/>
            </w:tcMar>
            <w:vAlign w:val="center"/>
          </w:tcPr>
          <w:p>
            <w:pPr>
              <w:spacing w:after="0" w:before="0"/>
              <w:jc w:val="center"/>
            </w:pPr>
            <w:r>
              <w:rPr>
                <w:b/>
                <w:bCs/>
                <w:color w:val="1B3A5C"/>
                <w:sz w:val="20"/>
                <w:szCs w:val="20"/>
              </w:rPr>
              <w:t xml:space="preserve">Provider</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6.5  Registration decision</w:t>
            </w:r>
          </w:p>
          <w:p>
            <w:pPr>
              <w:spacing w:after="0" w:before="0"/>
            </w:pPr>
            <w:r>
              <w:rPr>
                <w:sz w:val="20"/>
                <w:szCs w:val="20"/>
              </w:rPr>
              <w:t xml:space="preserve">CQC issues its decision and the certificate of registration with any conditions. The practice may only begin regulated activity once registration is granted.</w:t>
            </w:r>
          </w:p>
        </w:tc>
        <w:tc>
          <w:tcPr>
            <w:tcW w:type="dxa" w:w="1600"/>
            <w:tcBorders>
              <w:top w:val="single" w:color="BFBFBF" w:sz="1"/>
              <w:left w:val="single" w:color="BFBFBF" w:sz="1"/>
              <w:bottom w:val="single" w:color="BFBFBF" w:sz="1"/>
              <w:right w:val="single" w:color="BFBFBF" w:sz="1"/>
            </w:tcBorders>
            <w:shd w:fill="EDE7F2" w:val="clear"/>
            <w:tcMar>
              <w:top w:type="dxa" w:w="80"/>
              <w:left w:type="dxa" w:w="120"/>
              <w:bottom w:type="dxa" w:w="80"/>
              <w:right w:type="dxa" w:w="120"/>
            </w:tcMar>
            <w:vAlign w:val="center"/>
          </w:tcPr>
          <w:p>
            <w:pPr>
              <w:spacing w:after="0" w:before="0"/>
              <w:jc w:val="center"/>
            </w:pPr>
            <w:r>
              <w:rPr>
                <w:b/>
                <w:bCs/>
                <w:color w:val="1B3A5C"/>
                <w:sz w:val="20"/>
                <w:szCs w:val="20"/>
              </w:rPr>
              <w:t xml:space="preserve">CQC</w:t>
            </w:r>
          </w:p>
        </w:tc>
      </w:tr>
      <w:tr>
        <w:tc>
          <w:tcPr>
            <w:tcW w:type="dxa" w:w="7426"/>
            <w:tcBorders>
              <w:top w:val="single" w:color="BFBFBF" w:sz="1"/>
              <w:left w:val="single" w:color="BFBFBF" w:sz="1"/>
              <w:bottom w:val="single" w:color="BFBFBF" w:sz="1"/>
              <w:right w:val="single" w:color="BFBFBF" w:sz="1"/>
            </w:tcBorders>
            <w:tcMar>
              <w:top w:type="dxa" w:w="80"/>
              <w:left w:type="dxa" w:w="120"/>
              <w:bottom w:type="dxa" w:w="80"/>
              <w:right w:type="dxa" w:w="120"/>
            </w:tcMar>
          </w:tcPr>
          <w:p>
            <w:pPr>
              <w:spacing w:after="40" w:before="0"/>
            </w:pPr>
            <w:r>
              <w:rPr>
                <w:b/>
                <w:bCs/>
                <w:color w:val="1B3A5C"/>
                <w:sz w:val="21"/>
                <w:szCs w:val="21"/>
              </w:rPr>
              <w:t xml:space="preserve">6.6  Post-registration readiness</w:t>
            </w:r>
          </w:p>
          <w:p>
            <w:pPr>
              <w:spacing w:after="0" w:before="0"/>
            </w:pPr>
            <w:r>
              <w:rPr>
                <w:sz w:val="20"/>
                <w:szCs w:val="20"/>
              </w:rPr>
              <w:t xml:space="preserve">Statutory notifications, the ongoing audit cycle (IPC, radiography QA, record keeping), and preparation for the first inspection. NHS contract mobilisation where applicable.</w:t>
            </w:r>
          </w:p>
        </w:tc>
        <w:tc>
          <w:tcPr>
            <w:tcW w:type="dxa" w:w="1600"/>
            <w:tcBorders>
              <w:top w:val="single" w:color="BFBFBF" w:sz="1"/>
              <w:left w:val="single" w:color="BFBFBF" w:sz="1"/>
              <w:bottom w:val="single" w:color="BFBFBF" w:sz="1"/>
              <w:right w:val="single" w:color="BFBFBF" w:sz="1"/>
            </w:tcBorders>
            <w:shd w:fill="E0EFF1" w:val="clear"/>
            <w:tcMar>
              <w:top w:type="dxa" w:w="80"/>
              <w:left w:type="dxa" w:w="120"/>
              <w:bottom w:type="dxa" w:w="80"/>
              <w:right w:type="dxa" w:w="120"/>
            </w:tcMar>
            <w:vAlign w:val="center"/>
          </w:tcPr>
          <w:p>
            <w:pPr>
              <w:spacing w:after="0" w:before="0"/>
              <w:jc w:val="center"/>
            </w:pPr>
            <w:r>
              <w:rPr>
                <w:b/>
                <w:bCs/>
                <w:color w:val="1B3A5C"/>
                <w:sz w:val="20"/>
                <w:szCs w:val="20"/>
              </w:rPr>
              <w:t xml:space="preserve">Provider</w:t>
            </w:r>
          </w:p>
        </w:tc>
      </w:tr>
    </w:tbl>
    <w:p>
      <w:pPr>
        <w:spacing w:after="80" w:before="0"/>
      </w:pPr>
      <w:r>
        <w:rPr>
          <w:sz w:val="8"/>
          <w:szCs w:val="8"/>
        </w:rPr>
        <w:t xml:space="preserve"/>
      </w:r>
    </w:p>
    <w:p>
      <w:pPr>
        <w:pStyle w:val="Heading1"/>
        <w:spacing w:after="120" w:before="60"/>
      </w:pPr>
      <w:r>
        <w:rPr>
          <w:b/>
          <w:bCs/>
          <w:color w:val="1B3A5C"/>
          <w:sz w:val="28"/>
          <w:szCs w:val="28"/>
        </w:rPr>
        <w:t xml:space="preserve">Critical path and indicative timing</w:t>
      </w:r>
    </w:p>
    <w:p>
      <w:pPr>
        <w:pStyle w:val="ListParagraph"/>
        <w:numPr>
          <w:ilvl w:val="0"/>
          <w:numId w:val="2"/>
        </w:numPr>
        <w:spacing w:after="60" w:before="0"/>
      </w:pPr>
      <w:r>
        <w:rPr>
          <w:sz w:val="21"/>
          <w:szCs w:val="21"/>
        </w:rPr>
        <w:t xml:space="preserve">Design decontamination into the fit-out first. Retro-fitting an HTM 01-05 compliant workflow after building works is expensive and slow.</w:t>
      </w:r>
    </w:p>
    <w:p>
      <w:pPr>
        <w:pStyle w:val="ListParagraph"/>
        <w:numPr>
          <w:ilvl w:val="0"/>
          <w:numId w:val="2"/>
        </w:numPr>
        <w:spacing w:after="60" w:before="0"/>
      </w:pPr>
      <w:r>
        <w:rPr>
          <w:sz w:val="21"/>
          <w:szCs w:val="21"/>
        </w:rPr>
        <w:t xml:space="preserve">Commission the RPA and HSE registration early. Radiography compliance involves third parties and equipment testing you do not control.</w:t>
      </w:r>
    </w:p>
    <w:p>
      <w:pPr>
        <w:pStyle w:val="ListParagraph"/>
        <w:numPr>
          <w:ilvl w:val="0"/>
          <w:numId w:val="2"/>
        </w:numPr>
        <w:spacing w:after="60" w:before="0"/>
      </w:pPr>
      <w:r>
        <w:rPr>
          <w:sz w:val="21"/>
          <w:szCs w:val="21"/>
        </w:rPr>
        <w:t xml:space="preserve">Verify every registrant before applying. One lapsed GDC registration or missing indemnity can stall the whole application.</w:t>
      </w:r>
    </w:p>
    <w:p>
      <w:pPr>
        <w:pStyle w:val="ListParagraph"/>
        <w:numPr>
          <w:ilvl w:val="0"/>
          <w:numId w:val="2"/>
        </w:numPr>
        <w:spacing w:after="60" w:before="0"/>
      </w:pPr>
      <w:r>
        <w:rPr>
          <w:sz w:val="21"/>
          <w:szCs w:val="21"/>
        </w:rPr>
        <w:t xml:space="preserve">Allow roughly 10–12 weeks from a clean submission to decision; rejections for legal errors restart the clock, which is why Stage 1 review matters.</w:t>
      </w:r>
    </w:p>
    <w:p>
      <w:pPr>
        <w:pStyle w:val="Heading1"/>
        <w:spacing w:after="120" w:before="60"/>
      </w:pPr>
      <w:r>
        <w:rPr>
          <w:b/>
          <w:bCs/>
          <w:color w:val="1B3A5C"/>
          <w:sz w:val="28"/>
          <w:szCs w:val="28"/>
        </w:rPr>
        <w:t xml:space="preserve">Required documents checklist</w:t>
      </w:r>
    </w:p>
    <w:p>
      <w:pPr>
        <w:spacing w:after="120" w:before="0"/>
      </w:pPr>
      <w:r>
        <w:rPr>
          <w:color w:val="000000"/>
          <w:sz w:val="22"/>
          <w:szCs w:val="22"/>
        </w:rPr>
        <w:t xml:space="preserve">Submitted with the application:</w:t>
      </w:r>
    </w:p>
    <w:p>
      <w:pPr>
        <w:pStyle w:val="ListParagraph"/>
        <w:numPr>
          <w:ilvl w:val="0"/>
          <w:numId w:val="2"/>
        </w:numPr>
        <w:spacing w:after="60" w:before="0"/>
      </w:pPr>
      <w:r>
        <w:rPr>
          <w:sz w:val="21"/>
          <w:szCs w:val="21"/>
        </w:rPr>
        <w:t xml:space="preserve">Statement of Purpose</w:t>
      </w:r>
    </w:p>
    <w:p>
      <w:pPr>
        <w:pStyle w:val="ListParagraph"/>
        <w:numPr>
          <w:ilvl w:val="0"/>
          <w:numId w:val="2"/>
        </w:numPr>
        <w:spacing w:after="60" w:before="0"/>
      </w:pPr>
      <w:r>
        <w:rPr>
          <w:sz w:val="21"/>
          <w:szCs w:val="21"/>
        </w:rPr>
        <w:t xml:space="preserve">Provider application (regulated activities, location, service user bands)</w:t>
      </w:r>
    </w:p>
    <w:p>
      <w:pPr>
        <w:pStyle w:val="ListParagraph"/>
        <w:numPr>
          <w:ilvl w:val="0"/>
          <w:numId w:val="2"/>
        </w:numPr>
        <w:spacing w:after="60" w:before="0"/>
      </w:pPr>
      <w:r>
        <w:rPr>
          <w:sz w:val="21"/>
          <w:szCs w:val="21"/>
        </w:rPr>
        <w:t xml:space="preserve">Registered Manager application with CQC-countersigned DBS</w:t>
      </w:r>
    </w:p>
    <w:p>
      <w:pPr>
        <w:pStyle w:val="ListParagraph"/>
        <w:numPr>
          <w:ilvl w:val="0"/>
          <w:numId w:val="2"/>
        </w:numPr>
        <w:spacing w:after="60" w:before="0"/>
      </w:pPr>
      <w:r>
        <w:rPr>
          <w:sz w:val="21"/>
          <w:szCs w:val="21"/>
        </w:rPr>
        <w:t xml:space="preserve">Business plan and financial viability evidence</w:t>
      </w:r>
    </w:p>
    <w:p>
      <w:pPr>
        <w:pStyle w:val="ListParagraph"/>
        <w:numPr>
          <w:ilvl w:val="0"/>
          <w:numId w:val="2"/>
        </w:numPr>
        <w:spacing w:after="60" w:before="0"/>
      </w:pPr>
      <w:r>
        <w:rPr>
          <w:sz w:val="21"/>
          <w:szCs w:val="21"/>
        </w:rPr>
        <w:t xml:space="preserve">Indemnity confirmations for all registrants</w:t>
      </w:r>
    </w:p>
    <w:p>
      <w:pPr>
        <w:pStyle w:val="ListParagraph"/>
        <w:numPr>
          <w:ilvl w:val="0"/>
          <w:numId w:val="2"/>
        </w:numPr>
        <w:spacing w:after="60" w:before="0"/>
      </w:pPr>
      <w:r>
        <w:rPr>
          <w:sz w:val="21"/>
          <w:szCs w:val="21"/>
        </w:rPr>
        <w:t xml:space="preserve">ICO registration</w:t>
      </w:r>
    </w:p>
    <w:p>
      <w:pPr>
        <w:spacing w:after="120" w:before="0"/>
      </w:pPr>
      <w:r>
        <w:rPr>
          <w:color w:val="000000"/>
          <w:sz w:val="22"/>
          <w:szCs w:val="22"/>
        </w:rPr>
        <w:t xml:space="preserve">Ready at or before the interview stage (in addition to the above):</w:t>
      </w:r>
    </w:p>
    <w:p>
      <w:pPr>
        <w:pStyle w:val="ListParagraph"/>
        <w:numPr>
          <w:ilvl w:val="0"/>
          <w:numId w:val="2"/>
        </w:numPr>
        <w:spacing w:after="60" w:before="0"/>
      </w:pPr>
      <w:r>
        <w:rPr>
          <w:sz w:val="21"/>
          <w:szCs w:val="21"/>
        </w:rPr>
        <w:t xml:space="preserve">Full policy and procedure suite, including IPC, radiography and medical emergencies</w:t>
      </w:r>
    </w:p>
    <w:p>
      <w:pPr>
        <w:pStyle w:val="ListParagraph"/>
        <w:numPr>
          <w:ilvl w:val="0"/>
          <w:numId w:val="2"/>
        </w:numPr>
        <w:spacing w:after="60" w:before="0"/>
      </w:pPr>
      <w:r>
        <w:rPr>
          <w:sz w:val="21"/>
          <w:szCs w:val="21"/>
        </w:rPr>
        <w:t xml:space="preserve">HTM 01-05 evidence — validation certificates, daily test logs, decontamination audit</w:t>
      </w:r>
    </w:p>
    <w:p>
      <w:pPr>
        <w:pStyle w:val="ListParagraph"/>
        <w:numPr>
          <w:ilvl w:val="0"/>
          <w:numId w:val="2"/>
        </w:numPr>
        <w:spacing w:after="60" w:before="0"/>
      </w:pPr>
      <w:r>
        <w:rPr>
          <w:sz w:val="21"/>
          <w:szCs w:val="21"/>
        </w:rPr>
        <w:t xml:space="preserve">IRR17 HSE registration, RPA appointment, local rules and IR(ME)R procedures</w:t>
      </w:r>
    </w:p>
    <w:p>
      <w:pPr>
        <w:pStyle w:val="ListParagraph"/>
        <w:numPr>
          <w:ilvl w:val="0"/>
          <w:numId w:val="2"/>
        </w:numPr>
        <w:spacing w:after="60" w:before="0"/>
      </w:pPr>
      <w:r>
        <w:rPr>
          <w:sz w:val="21"/>
          <w:szCs w:val="21"/>
        </w:rPr>
        <w:t xml:space="preserve">Emergency drugs, oxygen and AED with check logs; BLS training records</w:t>
      </w:r>
    </w:p>
    <w:p>
      <w:pPr>
        <w:pStyle w:val="ListParagraph"/>
        <w:numPr>
          <w:ilvl w:val="0"/>
          <w:numId w:val="2"/>
        </w:numPr>
        <w:spacing w:after="60" w:before="0"/>
      </w:pPr>
      <w:r>
        <w:rPr>
          <w:sz w:val="21"/>
          <w:szCs w:val="21"/>
        </w:rPr>
        <w:t xml:space="preserve">GDC registration, indemnity, DBS and hepatitis B evidence for every registrant</w:t>
      </w:r>
    </w:p>
    <w:p>
      <w:pPr>
        <w:pStyle w:val="ListParagraph"/>
        <w:numPr>
          <w:ilvl w:val="0"/>
          <w:numId w:val="2"/>
        </w:numPr>
        <w:spacing w:after="60" w:before="0"/>
      </w:pPr>
      <w:r>
        <w:rPr>
          <w:sz w:val="21"/>
          <w:szCs w:val="21"/>
        </w:rPr>
        <w:t xml:space="preserve">Training matrix and safer-recruitment (Schedule 3) files</w:t>
      </w:r>
    </w:p>
    <w:p>
      <w:pPr>
        <w:pStyle w:val="ListParagraph"/>
        <w:numPr>
          <w:ilvl w:val="0"/>
          <w:numId w:val="2"/>
        </w:numPr>
        <w:spacing w:after="60" w:before="0"/>
      </w:pPr>
      <w:r>
        <w:rPr>
          <w:sz w:val="21"/>
          <w:szCs w:val="21"/>
        </w:rPr>
        <w:t xml:space="preserve">Legionella risk assessment and waterline management records</w:t>
      </w:r>
    </w:p>
    <w:p>
      <w:pPr>
        <w:pStyle w:val="ListParagraph"/>
        <w:numPr>
          <w:ilvl w:val="0"/>
          <w:numId w:val="2"/>
        </w:numPr>
        <w:spacing w:after="60" w:before="0"/>
      </w:pPr>
      <w:r>
        <w:rPr>
          <w:sz w:val="21"/>
          <w:szCs w:val="21"/>
        </w:rPr>
        <w:t xml:space="preserve">Premises safety — fire risk assessment, gas, EICR, pressure-vessel schemes, insurance</w:t>
      </w:r>
    </w:p>
    <w:p>
      <w:pPr>
        <w:pStyle w:val="Heading1"/>
        <w:spacing w:after="120" w:before="60"/>
      </w:pPr>
      <w:r>
        <w:rPr>
          <w:b/>
          <w:bCs/>
          <w:color w:val="1B3A5C"/>
          <w:sz w:val="28"/>
          <w:szCs w:val="28"/>
        </w:rPr>
        <w:t xml:space="preserve">Payment structure</w:t>
      </w:r>
    </w:p>
    <w:p>
      <w:pPr>
        <w:spacing w:after="120" w:before="0"/>
      </w:pPr>
      <w:r>
        <w:rPr>
          <w:color w:val="000000"/>
          <w:sz w:val="22"/>
          <w:szCs w:val="22"/>
        </w:rPr>
        <w:t xml:space="preserve">Cura works in two stages, mirroring its established approach:</w:t>
      </w:r>
    </w:p>
    <w:p>
      <w:pPr>
        <w:pStyle w:val="ListParagraph"/>
        <w:numPr>
          <w:ilvl w:val="0"/>
          <w:numId w:val="2"/>
        </w:numPr>
        <w:spacing w:after="60" w:before="0"/>
      </w:pPr>
      <w:r>
        <w:rPr>
          <w:sz w:val="21"/>
          <w:szCs w:val="21"/>
        </w:rPr>
        <w:t xml:space="preserve">Stage 1 — Documentation and submission: the business plan, Statement of Purpose, the full policy suite including the IR(ME)R procedure pack, and completion and submission of the provider and Registered Manager applications.</w:t>
      </w:r>
    </w:p>
    <w:p>
      <w:pPr>
        <w:pStyle w:val="ListParagraph"/>
        <w:numPr>
          <w:ilvl w:val="0"/>
          <w:numId w:val="2"/>
        </w:numPr>
        <w:spacing w:after="60" w:before="0"/>
      </w:pPr>
      <w:r>
        <w:rPr>
          <w:sz w:val="21"/>
          <w:szCs w:val="21"/>
        </w:rPr>
        <w:t xml:space="preserve">Stage 2 — Support through to successful registration: application adjustments, ongoing follow-up with CQC, mock interviews, and preparation for the registration assessment and interviews until registration is granted.</w:t>
      </w:r>
    </w:p>
    <w:p>
      <w:pPr>
        <w:spacing w:after="120" w:before="0"/>
      </w:pPr>
      <w:r>
        <w:rPr>
          <w:color w:val="000000"/>
          <w:sz w:val="22"/>
          <w:szCs w:val="22"/>
        </w:rPr>
        <w:t xml:space="preserve">Stage 1 is agreed at the start of the engagement. Stage 2 is taken close to the interview stage. If registration is refused following the interview stage, the Stage 2 fee is refunded — Cura’s guaranteed-success approach. This guarantee assumes the provider has completed their own actions in line with this roadmap.</w:t>
      </w:r>
    </w:p>
    <w:p>
      <w:pPr>
        <w:spacing w:after="120" w:before="0"/>
      </w:pPr>
      <w:r>
        <w:rPr>
          <w:color w:val="000000"/>
          <w:sz w:val="22"/>
          <w:szCs w:val="22"/>
        </w:rPr>
        <w:t xml:space="preserve">CQC does not charge an application fee. An annual fee becomes payable to CQC once registration is granted, and is paid by the provider directly to CQC.</w:t>
      </w:r>
    </w:p>
    <w:p>
      <w:pPr>
        <w:pStyle w:val="Heading1"/>
        <w:spacing w:after="120" w:before="60"/>
      </w:pPr>
      <w:r>
        <w:rPr>
          <w:b/>
          <w:bCs/>
          <w:color w:val="1B3A5C"/>
          <w:sz w:val="28"/>
          <w:szCs w:val="28"/>
        </w:rPr>
        <w:t xml:space="preserve">Ongoing support and communication</w:t>
      </w:r>
    </w:p>
    <w:p>
      <w:pPr>
        <w:pStyle w:val="ListParagraph"/>
        <w:numPr>
          <w:ilvl w:val="0"/>
          <w:numId w:val="2"/>
        </w:numPr>
        <w:spacing w:after="60" w:before="0"/>
      </w:pPr>
      <w:r>
        <w:rPr>
          <w:sz w:val="21"/>
          <w:szCs w:val="21"/>
        </w:rPr>
        <w:t xml:space="preserve">Access to our business WhatsApp for quick queries and updates.</w:t>
      </w:r>
    </w:p>
    <w:p>
      <w:pPr>
        <w:pStyle w:val="ListParagraph"/>
        <w:numPr>
          <w:ilvl w:val="0"/>
          <w:numId w:val="2"/>
        </w:numPr>
        <w:spacing w:after="60" w:before="0"/>
      </w:pPr>
      <w:r>
        <w:rPr>
          <w:sz w:val="21"/>
          <w:szCs w:val="21"/>
        </w:rPr>
        <w:t xml:space="preserve">Two dedicated consultants available throughout the process.</w:t>
      </w:r>
    </w:p>
    <w:p>
      <w:pPr>
        <w:pStyle w:val="ListParagraph"/>
        <w:numPr>
          <w:ilvl w:val="0"/>
          <w:numId w:val="2"/>
        </w:numPr>
        <w:spacing w:after="60" w:before="0"/>
      </w:pPr>
      <w:r>
        <w:rPr>
          <w:sz w:val="21"/>
          <w:szCs w:val="21"/>
        </w:rPr>
        <w:t xml:space="preserve">Office consultation meetings arranged as needed.</w:t>
      </w:r>
    </w:p>
    <w:p>
      <w:pPr>
        <w:pStyle w:val="ListParagraph"/>
        <w:numPr>
          <w:ilvl w:val="0"/>
          <w:numId w:val="2"/>
        </w:numPr>
        <w:spacing w:after="60" w:before="0"/>
      </w:pPr>
      <w:r>
        <w:rPr>
          <w:sz w:val="21"/>
          <w:szCs w:val="21"/>
        </w:rPr>
        <w:t xml:space="preserve">Guidance, mentoring sessions and advisory consultations at each phase.</w:t>
      </w:r>
    </w:p>
    <w:p>
      <w:pPr>
        <w:spacing w:after="120" w:before="0"/>
      </w:pPr>
      <w:r>
        <w:rPr>
          <w:color w:val="000000"/>
          <w:sz w:val="22"/>
          <w:szCs w:val="22"/>
        </w:rPr>
        <w:t xml:space="preserve">Website development: we also offer a separate website development service through a dedicated developer. Please speak with us for details.</w:t>
      </w:r>
    </w:p>
    <w:p>
      <w:pPr>
        <w:pStyle w:val="Heading1"/>
        <w:spacing w:after="120" w:before="60"/>
      </w:pPr>
      <w:r>
        <w:rPr>
          <w:b/>
          <w:bCs/>
          <w:color w:val="1B3A5C"/>
          <w:sz w:val="28"/>
          <w:szCs w:val="28"/>
        </w:rPr>
        <w:t xml:space="preserve">Our partnership approach</w:t>
      </w:r>
    </w:p>
    <w:p>
      <w:pPr>
        <w:spacing w:after="120" w:before="0"/>
      </w:pPr>
      <w:r>
        <w:rPr>
          <w:color w:val="000000"/>
          <w:sz w:val="22"/>
          <w:szCs w:val="22"/>
        </w:rPr>
        <w:t xml:space="preserve">This process is built on partnership. We commit to expert guidance, thorough documentation and hands-on support at every stage. Because CQC expects the practice — decontamination, radiography and emergency readiness above all — to be demonstrably compliant at the interview stage, the provider’s timely completion of fit-out, equipment and staffing actions is essential to the timeline and to a successful outcome. In return, we ask our clients to:</w:t>
      </w:r>
    </w:p>
    <w:p>
      <w:pPr>
        <w:pStyle w:val="ListParagraph"/>
        <w:numPr>
          <w:ilvl w:val="0"/>
          <w:numId w:val="2"/>
        </w:numPr>
        <w:spacing w:after="60" w:before="0"/>
      </w:pPr>
      <w:r>
        <w:rPr>
          <w:sz w:val="21"/>
          <w:szCs w:val="21"/>
        </w:rPr>
        <w:t xml:space="preserve">Follow our recommendations and guidance throughout the process.</w:t>
      </w:r>
    </w:p>
    <w:p>
      <w:pPr>
        <w:pStyle w:val="ListParagraph"/>
        <w:numPr>
          <w:ilvl w:val="0"/>
          <w:numId w:val="2"/>
        </w:numPr>
        <w:spacing w:after="60" w:before="0"/>
      </w:pPr>
      <w:r>
        <w:rPr>
          <w:sz w:val="21"/>
          <w:szCs w:val="21"/>
        </w:rPr>
        <w:t xml:space="preserve">Review all shared documents and provide timely feedback.</w:t>
      </w:r>
    </w:p>
    <w:p>
      <w:pPr>
        <w:pStyle w:val="ListParagraph"/>
        <w:numPr>
          <w:ilvl w:val="0"/>
          <w:numId w:val="2"/>
        </w:numPr>
        <w:spacing w:after="60" w:before="0"/>
      </w:pPr>
      <w:r>
        <w:rPr>
          <w:sz w:val="21"/>
          <w:szCs w:val="21"/>
        </w:rPr>
        <w:t xml:space="preserve">Complete the provider actions in this roadmap within the agreed timeframes.</w:t>
      </w:r>
    </w:p>
    <w:p>
      <w:pPr>
        <w:pStyle w:val="ListParagraph"/>
        <w:numPr>
          <w:ilvl w:val="0"/>
          <w:numId w:val="2"/>
        </w:numPr>
        <w:spacing w:after="60" w:before="0"/>
      </w:pPr>
      <w:r>
        <w:rPr>
          <w:sz w:val="21"/>
          <w:szCs w:val="21"/>
        </w:rPr>
        <w:t xml:space="preserve">Tell us promptly if any plans or circumstances change.</w:t>
      </w:r>
    </w:p>
    <w:p>
      <w:pPr>
        <w:spacing w:after="120" w:before="0"/>
      </w:pPr>
      <w:r>
        <w:rPr>
          <w:color w:val="000000"/>
          <w:sz w:val="22"/>
          <w:szCs w:val="22"/>
        </w:rPr>
        <w:t xml:space="preserve">We encourage initiative, but please note that Cura Compliance UK cannot take responsibility for actions taken without our guidance. Our success depends on working together towards a shared goal.</w:t>
      </w:r>
    </w:p>
    <w:p>
      <w:pPr>
        <w:spacing w:after="0" w:before="200"/>
        <w:jc w:val="center"/>
      </w:pPr>
      <w:r>
        <w:rPr>
          <w:b/>
          <w:bCs/>
          <w:color w:val="1B3A5C"/>
          <w:sz w:val="22"/>
          <w:szCs w:val="22"/>
        </w:rPr>
        <w:t xml:space="preserve">Cura Compliance UK  |  Your Partner in CQC Registration</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FBFBF" w:sz="4" w:space="4"/>
      </w:pBdr>
      <w:spacing w:after="0" w:before="0"/>
      <w:jc w:val="center"/>
    </w:pPr>
    <w:r>
      <w:rPr>
        <w:color w:val="595959"/>
        <w:sz w:val="16"/>
        <w:szCs w:val="16"/>
      </w:rPr>
      <w:t xml:space="preserve">Cura Compliance UK · CQC Registration Roadmap · Dental &amp; Oral Health Practices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2026-07-22T18:17:10.446Z</dcterms:created>
  <dcterms:modified xsi:type="dcterms:W3CDTF">2026-07-22T18:17:10.446Z</dcterms:modified>
</cp:coreProperties>
</file>

<file path=docProps/custom.xml><?xml version="1.0" encoding="utf-8"?>
<Properties xmlns="http://schemas.openxmlformats.org/officeDocument/2006/custom-properties" xmlns:vt="http://schemas.openxmlformats.org/officeDocument/2006/docPropsVTypes"/>
</file>