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0"/>
        <w:jc w:val="center"/>
      </w:pPr>
      <w:r>
        <w:rPr>
          <w:b/>
          <w:bCs/>
          <w:color w:val="1B3A5C"/>
          <w:sz w:val="44"/>
          <w:szCs w:val="44"/>
        </w:rPr>
        <w:t xml:space="preserve">OFSTED REGISTRATION ROADMAP</w:t>
      </w:r>
    </w:p>
    <w:p>
      <w:pPr>
        <w:spacing w:after="40" w:before="0"/>
        <w:jc w:val="center"/>
      </w:pPr>
      <w:r>
        <w:rPr>
          <w:b/>
          <w:bCs/>
          <w:color w:val="2E7D8C"/>
          <w:sz w:val="28"/>
          <w:szCs w:val="28"/>
        </w:rPr>
        <w:t xml:space="preserve">Children’s Home</w:t>
      </w:r>
    </w:p>
    <w:p>
      <w:pPr>
        <w:spacing w:after="30" w:before="0"/>
        <w:jc w:val="center"/>
      </w:pPr>
      <w:r>
        <w:rPr>
          <w:color w:val="595959"/>
          <w:sz w:val="20"/>
          <w:szCs w:val="20"/>
        </w:rPr>
        <w:t xml:space="preserve">Care Standards Act 2000 · Children’s Homes (England) Regulations 2015</w:t>
      </w:r>
    </w:p>
    <w:p>
      <w:pPr>
        <w:spacing w:after="20" w:before="0"/>
        <w:jc w:val="center"/>
      </w:pPr>
      <w:r>
        <w:rPr>
          <w:i/>
          <w:iCs/>
          <w:color w:val="1B3A5C"/>
          <w:sz w:val="22"/>
          <w:szCs w:val="22"/>
        </w:rPr>
        <w:t xml:space="preserve">Supported by Cura Compliance UK</w:t>
      </w:r>
    </w:p>
    <w:p>
      <w:pPr>
        <w:spacing w:after="40" w:before="0"/>
        <w:jc w:val="center"/>
      </w:pPr>
      <w:r>
        <w:rPr>
          <w:color w:val="595959"/>
          <w:sz w:val="18"/>
          <w:szCs w:val="18"/>
        </w:rPr>
        <w:t xml:space="preserve">Prepared June 2026 · Aligned to current Ofsted guidance</w:t>
      </w:r>
    </w:p>
    <w:p>
      <w:pPr>
        <w:pBdr>
          <w:bottom w:val="single" w:color="2E7D8C" w:sz="8" w:space="1"/>
        </w:pBdr>
        <w:spacing w:after="160" w:before="80"/>
      </w:pPr>
      <w:r>
        <w:rPr>
          <w:sz w:val="4"/>
          <w:szCs w:val="4"/>
        </w:rPr>
        <w:t xml:space="preserve"/>
      </w:r>
    </w:p>
    <w:p>
      <w:pPr>
        <w:pStyle w:val="Heading1"/>
        <w:spacing w:after="120" w:before="60"/>
      </w:pPr>
      <w:r>
        <w:rPr>
          <w:b/>
          <w:bCs/>
          <w:color w:val="1B3A5C"/>
          <w:sz w:val="28"/>
          <w:szCs w:val="28"/>
        </w:rPr>
        <w:t xml:space="preserve">Overview</w:t>
      </w:r>
    </w:p>
    <w:p>
      <w:pPr>
        <w:spacing w:after="120" w:before="0"/>
      </w:pPr>
      <w:r>
        <w:rPr>
          <w:b w:val="false"/>
          <w:bCs w:val="false"/>
          <w:i w:val="false"/>
          <w:iCs w:val="false"/>
          <w:color w:val="000000"/>
          <w:sz w:val="22"/>
          <w:szCs w:val="22"/>
        </w:rPr>
        <w:t xml:space="preserve">Registering a children’s home with Ofsted is more demanding and more front-loaded than CQC registration. Ofsted does not register a service and let it build afterwards. The home must be fully ready to operate — premises, policies, recording systems, staff and the Registered Manager all in place — at the point of the registration visit, before a single child is placed.</w:t>
      </w:r>
    </w:p>
    <w:p>
      <w:pPr>
        <w:spacing w:after="120" w:before="0"/>
      </w:pPr>
      <w:r>
        <w:rPr>
          <w:b w:val="false"/>
          <w:bCs w:val="false"/>
          <w:i w:val="false"/>
          <w:iCs w:val="false"/>
          <w:color w:val="000000"/>
          <w:sz w:val="22"/>
          <w:szCs w:val="22"/>
        </w:rPr>
        <w:t xml:space="preserve">This roadmap sets out every action required, who leads it, and how Cura Compliance UK and the provider work together as partners to achieve a successful registration. It follows the two-stage structure Cura uses for all registrations: Stage 1, building and submitting the application; and Stage 2, support through the registration visit and interviews until registration is granted.</w:t>
      </w:r>
    </w:p>
    <w:p>
      <w:pPr>
        <w:pStyle w:val="Heading2"/>
        <w:spacing w:after="100" w:before="120"/>
      </w:pPr>
      <w:r>
        <w:rPr>
          <w:b/>
          <w:bCs/>
          <w:color w:val="1B3A5C"/>
          <w:sz w:val="24"/>
          <w:szCs w:val="24"/>
        </w:rPr>
        <w:t xml:space="preserve">Three ways Ofsted differs from CQC</w:t>
      </w:r>
    </w:p>
    <w:tbl>
      <w:tblPr>
        <w:tblW w:type="dxa" w:w="9026"/>
        <w:tblBorders>
          <w:top w:val="single" w:color="2E7D8C" w:sz="4"/>
          <w:left w:val="single" w:color="2E7D8C" w:sz="18"/>
          <w:bottom w:val="single" w:color="2E7D8C" w:sz="4"/>
          <w:right w:val="single" w:color="2E7D8C" w:sz="4"/>
          <w:insideH w:val="single" w:color="auto" w:sz="4"/>
          <w:insideV w:val="single" w:color="auto" w:sz="4"/>
        </w:tblBorders>
      </w:tblPr>
      <w:tblGrid>
        <w:gridCol w:w="9026"/>
      </w:tblGrid>
      <w:tr>
        <w:tc>
          <w:tcPr>
            <w:tcW w:type="dxa" w:w="9026"/>
            <w:shd w:fill="F2F8F9" w:val="clear"/>
            <w:tcMar>
              <w:top w:type="dxa" w:w="140"/>
              <w:left w:type="dxa" w:w="200"/>
              <w:bottom w:type="dxa" w:w="140"/>
              <w:right w:type="dxa" w:w="200"/>
            </w:tcMar>
          </w:tcPr>
          <w:p>
            <w:pPr>
              <w:spacing w:after="80" w:before="20"/>
            </w:pPr>
            <w:r>
              <w:rPr>
                <w:b/>
                <w:bCs/>
                <w:color w:val="1B3A5C"/>
                <w:sz w:val="22"/>
                <w:szCs w:val="22"/>
              </w:rPr>
              <w:t xml:space="preserve">These three differences shape every phase of this roadmap.</w:t>
            </w:r>
          </w:p>
          <w:p>
            <w:pPr>
              <w:spacing w:after="100" w:before="0"/>
            </w:pPr>
            <w:r>
              <w:rPr>
                <w:b/>
                <w:bCs/>
                <w:color w:val="2E7D8C"/>
                <w:sz w:val="21"/>
                <w:szCs w:val="21"/>
              </w:rPr>
              <w:t xml:space="preserve">1. Planning and use class.  </w:t>
            </w:r>
            <w:r>
              <w:rPr>
                <w:sz w:val="21"/>
                <w:szCs w:val="21"/>
              </w:rPr>
              <w:t xml:space="preserve">Ofsted cannot carry out the registration visit until you provide planning permission, written confirmation from the local authority that no permission is needed, or confirmation that the current use class is allowed. A children’s home is normally a Class C2 (residential institution) use; the correct use class must be confirmed in writing with the local planning authority.</w:t>
            </w:r>
          </w:p>
          <w:p>
            <w:pPr>
              <w:spacing w:after="100" w:before="0"/>
            </w:pPr>
            <w:r>
              <w:rPr>
                <w:b/>
                <w:bCs/>
                <w:color w:val="2E7D8C"/>
                <w:sz w:val="21"/>
                <w:szCs w:val="21"/>
              </w:rPr>
              <w:t xml:space="preserve">2. Multi-agency service design.  </w:t>
            </w:r>
            <w:r>
              <w:rPr>
                <w:sz w:val="21"/>
                <w:szCs w:val="21"/>
              </w:rPr>
              <w:t xml:space="preserve">The location assessment must show that you have consulted the police and the local authority’s children’s services, considered their views, and asked the local authority whether a new home is needed in the area. Engagement with health and education is also expected, and inspectors will ask to see evidence of this contact.</w:t>
            </w:r>
          </w:p>
          <w:p>
            <w:pPr>
              <w:spacing w:after="20" w:before="0"/>
            </w:pPr>
            <w:r>
              <w:rPr>
                <w:b/>
                <w:bCs/>
                <w:color w:val="2E7D8C"/>
                <w:sz w:val="21"/>
                <w:szCs w:val="21"/>
              </w:rPr>
              <w:t xml:space="preserve">3. Operational readiness at the visit.  </w:t>
            </w:r>
            <w:r>
              <w:rPr>
                <w:sz w:val="21"/>
                <w:szCs w:val="21"/>
              </w:rPr>
              <w:t xml:space="preserve">At the registration visit Ofsted checks whether you are ready to operate. The Registered Manager and Responsible Individual must be appointed and interviewed; enough staff must be recruited, DBS-checked and trained to open and accept the first child; and all policies, recording systems and premises safety certificates must already be in place.</w:t>
            </w:r>
          </w:p>
        </w:tc>
      </w:tr>
    </w:tbl>
    <w:p>
      <w:pPr>
        <w:pStyle w:val="Heading2"/>
        <w:spacing w:after="100" w:before="200"/>
      </w:pPr>
      <w:r>
        <w:rPr>
          <w:b/>
          <w:bCs/>
          <w:color w:val="1B3A5C"/>
          <w:sz w:val="24"/>
          <w:szCs w:val="24"/>
        </w:rPr>
        <w:t xml:space="preserve">Responsibility key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400"/>
        <w:gridCol w:w="7626"/>
      </w:tblGrid>
      <w:tr>
        <w:tc>
          <w:tcPr>
            <w:tcW w:type="dxa" w:w="1400"/>
            <w:tcBorders>
              <w:top w:val="single" w:color="BFBFBF" w:sz="1"/>
              <w:left w:val="single" w:color="BFBFBF" w:sz="1"/>
              <w:bottom w:val="single" w:color="BFBFBF" w:sz="1"/>
              <w:right w:val="single" w:color="BFBFBF" w:sz="1"/>
            </w:tcBorders>
            <w:shd w:fill="E3EAF0" w:val="clear"/>
            <w:tcMar>
              <w:top w:type="dxa" w:w="80"/>
              <w:left w:type="dxa" w:w="120"/>
              <w:bottom w:type="dxa" w:w="80"/>
              <w:right w:type="dxa" w:w="120"/>
            </w:tcMar>
            <w:vAlign w:val="center"/>
          </w:tcPr>
          <w:p>
            <w:pPr>
              <w:spacing w:after="0" w:before="0"/>
              <w:jc w:val="center"/>
            </w:pPr>
            <w:r>
              <w:rPr>
                <w:b/>
                <w:bCs/>
                <w:color w:val="1B3A5C"/>
                <w:sz w:val="20"/>
                <w:szCs w:val="20"/>
              </w:rPr>
              <w:t xml:space="preserve">Cura</w:t>
            </w:r>
          </w:p>
        </w:tc>
        <w:tc>
          <w:tcPr>
            <w:tcW w:type="dxa" w:w="7626"/>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spacing w:after="0" w:before="0"/>
            </w:pPr>
            <w:r>
              <w:rPr>
                <w:sz w:val="20"/>
                <w:szCs w:val="20"/>
              </w:rPr>
              <w:t xml:space="preserve">Cura Compliance UK delivers this work.</w:t>
            </w:r>
          </w:p>
        </w:tc>
      </w:tr>
      <w:tr>
        <w:tc>
          <w:tcPr>
            <w:tcW w:type="dxa" w:w="1400"/>
            <w:tcBorders>
              <w:top w:val="single" w:color="BFBFBF" w:sz="1"/>
              <w:left w:val="single" w:color="BFBFBF" w:sz="1"/>
              <w:bottom w:val="single" w:color="BFBFBF" w:sz="1"/>
              <w:right w:val="single" w:color="BFBFBF" w:sz="1"/>
            </w:tcBorders>
            <w:shd w:fill="E0EFF1" w:val="clear"/>
            <w:tcMar>
              <w:top w:type="dxa" w:w="80"/>
              <w:left w:type="dxa" w:w="120"/>
              <w:bottom w:type="dxa" w:w="80"/>
              <w:right w:type="dxa" w:w="120"/>
            </w:tcMar>
            <w:vAlign w:val="center"/>
          </w:tcPr>
          <w:p>
            <w:pPr>
              <w:spacing w:after="0" w:before="0"/>
              <w:jc w:val="center"/>
            </w:pPr>
            <w:r>
              <w:rPr>
                <w:b/>
                <w:bCs/>
                <w:color w:val="1B3A5C"/>
                <w:sz w:val="20"/>
                <w:szCs w:val="20"/>
              </w:rPr>
              <w:t xml:space="preserve">Provider</w:t>
            </w:r>
          </w:p>
        </w:tc>
        <w:tc>
          <w:tcPr>
            <w:tcW w:type="dxa" w:w="7626"/>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spacing w:after="0" w:before="0"/>
            </w:pPr>
            <w:r>
              <w:rPr>
                <w:sz w:val="20"/>
                <w:szCs w:val="20"/>
              </w:rPr>
              <w:t xml:space="preserve">Provider action required. Cura advises, guides and reviews throughout, but only the provider can complete it.</w:t>
            </w:r>
          </w:p>
        </w:tc>
      </w:tr>
      <w:tr>
        <w:tc>
          <w:tcPr>
            <w:tcW w:type="dxa" w:w="1400"/>
            <w:tcBorders>
              <w:top w:val="single" w:color="BFBFBF" w:sz="1"/>
              <w:left w:val="single" w:color="BFBFBF" w:sz="1"/>
              <w:bottom w:val="single" w:color="BFBFBF" w:sz="1"/>
              <w:right w:val="single" w:color="BFBFBF" w:sz="1"/>
            </w:tcBorders>
            <w:shd w:fill="EFEFEF" w:val="clear"/>
            <w:tcMar>
              <w:top w:type="dxa" w:w="80"/>
              <w:left w:type="dxa" w:w="120"/>
              <w:bottom w:type="dxa" w:w="80"/>
              <w:right w:type="dxa" w:w="120"/>
            </w:tcMar>
            <w:vAlign w:val="center"/>
          </w:tcPr>
          <w:p>
            <w:pPr>
              <w:spacing w:after="0" w:before="0"/>
              <w:jc w:val="center"/>
            </w:pPr>
            <w:r>
              <w:rPr>
                <w:b/>
                <w:bCs/>
                <w:color w:val="1B3A5C"/>
                <w:sz w:val="20"/>
                <w:szCs w:val="20"/>
              </w:rPr>
              <w:t xml:space="preserve">Both</w:t>
            </w:r>
          </w:p>
        </w:tc>
        <w:tc>
          <w:tcPr>
            <w:tcW w:type="dxa" w:w="7626"/>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spacing w:after="0" w:before="0"/>
            </w:pPr>
            <w:r>
              <w:rPr>
                <w:sz w:val="20"/>
                <w:szCs w:val="20"/>
              </w:rPr>
              <w:t xml:space="preserve">Joint action — delivered together by Cura Compliance UK and the provider.</w:t>
            </w:r>
          </w:p>
        </w:tc>
      </w:tr>
      <w:tr>
        <w:tc>
          <w:tcPr>
            <w:tcW w:type="dxa" w:w="1400"/>
            <w:tcBorders>
              <w:top w:val="single" w:color="BFBFBF" w:sz="1"/>
              <w:left w:val="single" w:color="BFBFBF" w:sz="1"/>
              <w:bottom w:val="single" w:color="BFBFBF" w:sz="1"/>
              <w:right w:val="single" w:color="BFBFBF" w:sz="1"/>
            </w:tcBorders>
            <w:shd w:fill="FBEFD3" w:val="clear"/>
            <w:tcMar>
              <w:top w:type="dxa" w:w="80"/>
              <w:left w:type="dxa" w:w="120"/>
              <w:bottom w:type="dxa" w:w="80"/>
              <w:right w:type="dxa" w:w="120"/>
            </w:tcMar>
            <w:vAlign w:val="center"/>
          </w:tcPr>
          <w:p>
            <w:pPr>
              <w:spacing w:after="0" w:before="0"/>
              <w:jc w:val="center"/>
            </w:pPr>
            <w:r>
              <w:rPr>
                <w:b/>
                <w:bCs/>
                <w:color w:val="1B3A5C"/>
                <w:sz w:val="20"/>
                <w:szCs w:val="20"/>
              </w:rPr>
              <w:t xml:space="preserve">Optional</w:t>
            </w:r>
          </w:p>
        </w:tc>
        <w:tc>
          <w:tcPr>
            <w:tcW w:type="dxa" w:w="7626"/>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spacing w:after="0" w:before="0"/>
            </w:pPr>
            <w:r>
              <w:rPr>
                <w:sz w:val="20"/>
                <w:szCs w:val="20"/>
              </w:rPr>
              <w:t xml:space="preserve">Available from Cura Compliance UK as a separate package — not included in the standard engagement.</w:t>
            </w:r>
          </w:p>
        </w:tc>
      </w:tr>
      <w:tr>
        <w:tc>
          <w:tcPr>
            <w:tcW w:type="dxa" w:w="1400"/>
            <w:tcBorders>
              <w:top w:val="single" w:color="BFBFBF" w:sz="1"/>
              <w:left w:val="single" w:color="BFBFBF" w:sz="1"/>
              <w:bottom w:val="single" w:color="BFBFBF" w:sz="1"/>
              <w:right w:val="single" w:color="BFBFBF" w:sz="1"/>
            </w:tcBorders>
            <w:shd w:fill="EDE7F2" w:val="clear"/>
            <w:tcMar>
              <w:top w:type="dxa" w:w="80"/>
              <w:left w:type="dxa" w:w="120"/>
              <w:bottom w:type="dxa" w:w="80"/>
              <w:right w:type="dxa" w:w="120"/>
            </w:tcMar>
            <w:vAlign w:val="center"/>
          </w:tcPr>
          <w:p>
            <w:pPr>
              <w:spacing w:after="0" w:before="0"/>
              <w:jc w:val="center"/>
            </w:pPr>
            <w:r>
              <w:rPr>
                <w:b/>
                <w:bCs/>
                <w:color w:val="1B3A5C"/>
                <w:sz w:val="20"/>
                <w:szCs w:val="20"/>
              </w:rPr>
              <w:t xml:space="preserve">Ofsted</w:t>
            </w:r>
          </w:p>
        </w:tc>
        <w:tc>
          <w:tcPr>
            <w:tcW w:type="dxa" w:w="7626"/>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spacing w:after="0" w:before="0"/>
            </w:pPr>
            <w:r>
              <w:rPr>
                <w:sz w:val="20"/>
                <w:szCs w:val="20"/>
              </w:rPr>
              <w:t xml:space="preserve">Carried out by Ofsted. Neither the provider nor Cura completes this step.</w:t>
            </w:r>
          </w:p>
        </w:tc>
      </w:tr>
    </w:tbl>
    <w:p>
      <w:pPr>
        <w:spacing w:after="160" w:before="0"/>
      </w:pPr>
      <w:r>
        <w:rPr>
          <w:sz w:val="8"/>
          <w:szCs w:val="8"/>
        </w:rPr>
        <w:t xml:space="preserve"/>
      </w:r>
    </w:p>
    <w:p>
      <w:pPr>
        <w:pStyle w:val="Heading1"/>
        <w:spacing w:after="60" w:before="160"/>
      </w:pPr>
      <w:r>
        <w:rPr>
          <w:b/>
          <w:bCs/>
          <w:color w:val="1B3A5C"/>
          <w:sz w:val="28"/>
          <w:szCs w:val="28"/>
        </w:rPr>
        <w:t xml:space="preserve">Stage 1 — Building and submitting the application</w:t>
      </w:r>
    </w:p>
    <w:p>
      <w:pPr>
        <w:spacing w:after="120" w:before="0"/>
      </w:pPr>
      <w:r>
        <w:rPr>
          <w:b w:val="false"/>
          <w:bCs w:val="false"/>
          <w:i/>
          <w:iCs/>
          <w:color w:val="595959"/>
          <w:sz w:val="22"/>
          <w:szCs w:val="22"/>
        </w:rPr>
        <w:t xml:space="preserve">Phases 1 to 6 cover everything needed to build a complete, compliant application and submit it to Ofsted.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7426"/>
        <w:gridCol w:w="1600"/>
      </w:tblGrid>
      <w:tr>
        <w:trPr>
          <w:tblHeader/>
        </w:trPr>
        <w:tc>
          <w:tcPr>
            <w:tcW w:type="dxa" w:w="9026"/>
            <w:gridSpan w:val="2"/>
            <w:tcBorders>
              <w:top w:val="single" w:color="BFBFBF" w:sz="1"/>
              <w:left w:val="single" w:color="BFBFBF" w:sz="1"/>
              <w:bottom w:val="single" w:color="BFBFBF" w:sz="1"/>
              <w:right w:val="single" w:color="BFBFBF" w:sz="1"/>
            </w:tcBorders>
            <w:shd w:fill="1B3A5C" w:val="clear"/>
            <w:tcMar>
              <w:top w:type="dxa" w:w="80"/>
              <w:left w:type="dxa" w:w="120"/>
              <w:bottom w:type="dxa" w:w="80"/>
              <w:right w:type="dxa" w:w="120"/>
            </w:tcMar>
          </w:tcPr>
          <w:p>
            <w:pPr>
              <w:spacing w:after="20" w:before="20"/>
            </w:pPr>
            <w:r>
              <w:rPr>
                <w:b/>
                <w:bCs/>
                <w:color w:val="FFFFFF"/>
                <w:sz w:val="22"/>
                <w:szCs w:val="22"/>
              </w:rPr>
              <w:t xml:space="preserve">PHASE 1  —  FOUNDATIONS, FEASIBILITY AND PLANNING</w:t>
            </w:r>
          </w:p>
        </w:tc>
      </w:tr>
      <w:tr>
        <w:trPr>
          <w:tblHeader/>
        </w:trPr>
        <w:tc>
          <w:tcPr>
            <w:tcW w:type="dxa" w:w="7426"/>
            <w:tcBorders>
              <w:top w:val="single" w:color="BFBFBF" w:sz="1"/>
              <w:left w:val="single" w:color="BFBFBF" w:sz="1"/>
              <w:bottom w:val="single" w:color="BFBFBF" w:sz="1"/>
              <w:right w:val="single" w:color="BFBFBF" w:sz="1"/>
            </w:tcBorders>
            <w:shd w:fill="2E7D8C" w:val="clear"/>
            <w:tcMar>
              <w:top w:type="dxa" w:w="80"/>
              <w:left w:type="dxa" w:w="120"/>
              <w:bottom w:type="dxa" w:w="80"/>
              <w:right w:type="dxa" w:w="120"/>
            </w:tcMar>
          </w:tcPr>
          <w:p>
            <w:pPr>
              <w:spacing w:after="0" w:before="0"/>
              <w:jc w:val="left"/>
            </w:pPr>
            <w:r>
              <w:rPr>
                <w:b/>
                <w:bCs/>
                <w:color w:val="FFFFFF"/>
                <w:sz w:val="20"/>
                <w:szCs w:val="20"/>
              </w:rPr>
              <w:t xml:space="preserve">Action</w:t>
            </w:r>
          </w:p>
        </w:tc>
        <w:tc>
          <w:tcPr>
            <w:tcW w:type="dxa" w:w="1600"/>
            <w:tcBorders>
              <w:top w:val="single" w:color="BFBFBF" w:sz="1"/>
              <w:left w:val="single" w:color="BFBFBF" w:sz="1"/>
              <w:bottom w:val="single" w:color="BFBFBF" w:sz="1"/>
              <w:right w:val="single" w:color="BFBFBF" w:sz="1"/>
            </w:tcBorders>
            <w:shd w:fill="2E7D8C" w:val="clear"/>
            <w:tcMar>
              <w:top w:type="dxa" w:w="80"/>
              <w:left w:type="dxa" w:w="120"/>
              <w:bottom w:type="dxa" w:w="80"/>
              <w:right w:type="dxa" w:w="120"/>
            </w:tcMar>
          </w:tcPr>
          <w:p>
            <w:pPr>
              <w:spacing w:after="0" w:before="0"/>
              <w:jc w:val="center"/>
            </w:pPr>
            <w:r>
              <w:rPr>
                <w:b/>
                <w:bCs/>
                <w:color w:val="FFFFFF"/>
                <w:sz w:val="20"/>
                <w:szCs w:val="20"/>
              </w:rPr>
              <w:t xml:space="preserve">Lead</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1.1  Company set-up and Companies House match</w:t>
            </w:r>
          </w:p>
          <w:p>
            <w:pPr>
              <w:spacing w:after="0" w:before="0"/>
            </w:pPr>
            <w:r>
              <w:rPr>
                <w:sz w:val="20"/>
                <w:szCs w:val="20"/>
              </w:rPr>
              <w:t xml:space="preserve">Establish or confirm the limited company (or partnership/charity). The legal name and registered details must exactly match what is entered on the SC1 form — any difference will cause the application to be returned to the back of the queue.</w:t>
            </w:r>
          </w:p>
        </w:tc>
        <w:tc>
          <w:tcPr>
            <w:tcW w:type="dxa" w:w="1600"/>
            <w:tcBorders>
              <w:top w:val="single" w:color="BFBFBF" w:sz="1"/>
              <w:left w:val="single" w:color="BFBFBF" w:sz="1"/>
              <w:bottom w:val="single" w:color="BFBFBF" w:sz="1"/>
              <w:right w:val="single" w:color="BFBFBF" w:sz="1"/>
            </w:tcBorders>
            <w:shd w:fill="E0EFF1" w:val="clear"/>
            <w:tcMar>
              <w:top w:type="dxa" w:w="80"/>
              <w:left w:type="dxa" w:w="120"/>
              <w:bottom w:type="dxa" w:w="80"/>
              <w:right w:type="dxa" w:w="120"/>
            </w:tcMar>
            <w:vAlign w:val="center"/>
          </w:tcPr>
          <w:p>
            <w:pPr>
              <w:spacing w:after="0" w:before="0"/>
              <w:jc w:val="center"/>
            </w:pPr>
            <w:r>
              <w:rPr>
                <w:b/>
                <w:bCs/>
                <w:color w:val="1B3A5C"/>
                <w:sz w:val="20"/>
                <w:szCs w:val="20"/>
              </w:rPr>
              <w:t xml:space="preserve">Provider</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1.2  Define the service model</w:t>
            </w:r>
          </w:p>
          <w:p>
            <w:pPr>
              <w:spacing w:after="0" w:before="0"/>
            </w:pPr>
            <w:r>
              <w:rPr>
                <w:sz w:val="20"/>
                <w:szCs w:val="20"/>
              </w:rPr>
              <w:t xml:space="preserve">Agree the age range, maximum number of children, the needs the home will meet and the care/therapeutic approach. Cura shapes this into a registrable model that the Statement of Purpose and Quality Standards can be built around.</w:t>
            </w:r>
          </w:p>
        </w:tc>
        <w:tc>
          <w:tcPr>
            <w:tcW w:type="dxa" w:w="1600"/>
            <w:tcBorders>
              <w:top w:val="single" w:color="BFBFBF" w:sz="1"/>
              <w:left w:val="single" w:color="BFBFBF" w:sz="1"/>
              <w:bottom w:val="single" w:color="BFBFBF" w:sz="1"/>
              <w:right w:val="single" w:color="BFBFBF" w:sz="1"/>
            </w:tcBorders>
            <w:shd w:fill="EFEFEF" w:val="clear"/>
            <w:tcMar>
              <w:top w:type="dxa" w:w="80"/>
              <w:left w:type="dxa" w:w="120"/>
              <w:bottom w:type="dxa" w:w="80"/>
              <w:right w:type="dxa" w:w="120"/>
            </w:tcMar>
            <w:vAlign w:val="center"/>
          </w:tcPr>
          <w:p>
            <w:pPr>
              <w:spacing w:after="0" w:before="0"/>
              <w:jc w:val="center"/>
            </w:pPr>
            <w:r>
              <w:rPr>
                <w:b/>
                <w:bCs/>
                <w:color w:val="1B3A5C"/>
                <w:sz w:val="20"/>
                <w:szCs w:val="20"/>
              </w:rPr>
              <w:t xml:space="preserve">Both</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1.3  Identify the property</w:t>
            </w:r>
          </w:p>
          <w:p>
            <w:pPr>
              <w:spacing w:after="0" w:before="0"/>
            </w:pPr>
            <w:r>
              <w:rPr>
                <w:sz w:val="20"/>
                <w:szCs w:val="20"/>
              </w:rPr>
              <w:t xml:space="preserve">Secure the property (purchase or lease). The size and layout must suit the number and needs of the children, and the neighbourhood must support a positive placement.</w:t>
            </w:r>
          </w:p>
        </w:tc>
        <w:tc>
          <w:tcPr>
            <w:tcW w:type="dxa" w:w="1600"/>
            <w:tcBorders>
              <w:top w:val="single" w:color="BFBFBF" w:sz="1"/>
              <w:left w:val="single" w:color="BFBFBF" w:sz="1"/>
              <w:bottom w:val="single" w:color="BFBFBF" w:sz="1"/>
              <w:right w:val="single" w:color="BFBFBF" w:sz="1"/>
            </w:tcBorders>
            <w:shd w:fill="E0EFF1" w:val="clear"/>
            <w:tcMar>
              <w:top w:type="dxa" w:w="80"/>
              <w:left w:type="dxa" w:w="120"/>
              <w:bottom w:type="dxa" w:w="80"/>
              <w:right w:type="dxa" w:w="120"/>
            </w:tcMar>
            <w:vAlign w:val="center"/>
          </w:tcPr>
          <w:p>
            <w:pPr>
              <w:spacing w:after="0" w:before="0"/>
              <w:jc w:val="center"/>
            </w:pPr>
            <w:r>
              <w:rPr>
                <w:b/>
                <w:bCs/>
                <w:color w:val="1B3A5C"/>
                <w:sz w:val="20"/>
                <w:szCs w:val="20"/>
              </w:rPr>
              <w:t xml:space="preserve">Provider</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1.4  Planning permission / use class (normally C2)</w:t>
            </w:r>
          </w:p>
          <w:p>
            <w:pPr>
              <w:spacing w:after="40" w:before="0"/>
            </w:pPr>
            <w:r>
              <w:rPr>
                <w:sz w:val="20"/>
                <w:szCs w:val="20"/>
              </w:rPr>
              <w:t xml:space="preserve">Engage the local planning authority early. Obtain one of: planning permission for change of use to Class C2 (residential institution); written confirmation that no permission is required; or written confirmation that the current use class is allowed.</w:t>
            </w:r>
          </w:p>
          <w:p>
            <w:pPr>
              <w:spacing w:after="0" w:before="0"/>
            </w:pPr>
            <w:r>
              <w:rPr>
                <w:sz w:val="20"/>
                <w:szCs w:val="20"/>
              </w:rPr>
              <w:t xml:space="preserve">This is the longest lead-in item. Ofsted strongly recommends resolving it before applying and will not carry out the registration visit until it is provided. Cura advises; the provider (or their planning consultant) secures it.</w:t>
            </w:r>
          </w:p>
        </w:tc>
        <w:tc>
          <w:tcPr>
            <w:tcW w:type="dxa" w:w="1600"/>
            <w:tcBorders>
              <w:top w:val="single" w:color="BFBFBF" w:sz="1"/>
              <w:left w:val="single" w:color="BFBFBF" w:sz="1"/>
              <w:bottom w:val="single" w:color="BFBFBF" w:sz="1"/>
              <w:right w:val="single" w:color="BFBFBF" w:sz="1"/>
            </w:tcBorders>
            <w:shd w:fill="E0EFF1" w:val="clear"/>
            <w:tcMar>
              <w:top w:type="dxa" w:w="80"/>
              <w:left w:type="dxa" w:w="120"/>
              <w:bottom w:type="dxa" w:w="80"/>
              <w:right w:type="dxa" w:w="120"/>
            </w:tcMar>
            <w:vAlign w:val="center"/>
          </w:tcPr>
          <w:p>
            <w:pPr>
              <w:spacing w:after="0" w:before="0"/>
              <w:jc w:val="center"/>
            </w:pPr>
            <w:r>
              <w:rPr>
                <w:b/>
                <w:bCs/>
                <w:color w:val="1B3A5C"/>
                <w:sz w:val="20"/>
                <w:szCs w:val="20"/>
              </w:rPr>
              <w:t xml:space="preserve">Provider</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1.5  Evidence local need (sufficiency)</w:t>
            </w:r>
          </w:p>
          <w:p>
            <w:pPr>
              <w:spacing w:after="0" w:before="0"/>
            </w:pPr>
            <w:r>
              <w:rPr>
                <w:sz w:val="20"/>
                <w:szCs w:val="20"/>
              </w:rPr>
              <w:t xml:space="preserve">Approach the host local authority's commissioning/sufficiency team to evidence that the home is needed in the area. Cura helps frame the enquiry and records the response for the location assessment.</w:t>
            </w:r>
          </w:p>
        </w:tc>
        <w:tc>
          <w:tcPr>
            <w:tcW w:type="dxa" w:w="1600"/>
            <w:tcBorders>
              <w:top w:val="single" w:color="BFBFBF" w:sz="1"/>
              <w:left w:val="single" w:color="BFBFBF" w:sz="1"/>
              <w:bottom w:val="single" w:color="BFBFBF" w:sz="1"/>
              <w:right w:val="single" w:color="BFBFBF" w:sz="1"/>
            </w:tcBorders>
            <w:shd w:fill="EFEFEF" w:val="clear"/>
            <w:tcMar>
              <w:top w:type="dxa" w:w="80"/>
              <w:left w:type="dxa" w:w="120"/>
              <w:bottom w:type="dxa" w:w="80"/>
              <w:right w:type="dxa" w:w="120"/>
            </w:tcMar>
            <w:vAlign w:val="center"/>
          </w:tcPr>
          <w:p>
            <w:pPr>
              <w:spacing w:after="0" w:before="0"/>
              <w:jc w:val="center"/>
            </w:pPr>
            <w:r>
              <w:rPr>
                <w:b/>
                <w:bCs/>
                <w:color w:val="1B3A5C"/>
                <w:sz w:val="20"/>
                <w:szCs w:val="20"/>
              </w:rPr>
              <w:t xml:space="preserve">Both</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1.6  Business plan and cashflow forecast</w:t>
            </w:r>
          </w:p>
          <w:p>
            <w:pPr>
              <w:spacing w:after="0" w:before="0"/>
            </w:pPr>
            <w:r>
              <w:rPr>
                <w:sz w:val="20"/>
                <w:szCs w:val="20"/>
              </w:rPr>
              <w:t xml:space="preserve">Cura builds the full business plan (background, marketing, financial and operational plan) and a 12-month cashflow forecast. The provider supplies financial inputs: funding, savings, costs, fee levels and projections.</w:t>
            </w:r>
          </w:p>
        </w:tc>
        <w:tc>
          <w:tcPr>
            <w:tcW w:type="dxa" w:w="1600"/>
            <w:tcBorders>
              <w:top w:val="single" w:color="BFBFBF" w:sz="1"/>
              <w:left w:val="single" w:color="BFBFBF" w:sz="1"/>
              <w:bottom w:val="single" w:color="BFBFBF" w:sz="1"/>
              <w:right w:val="single" w:color="BFBFBF" w:sz="1"/>
            </w:tcBorders>
            <w:shd w:fill="E3EAF0" w:val="clear"/>
            <w:tcMar>
              <w:top w:type="dxa" w:w="80"/>
              <w:left w:type="dxa" w:w="120"/>
              <w:bottom w:type="dxa" w:w="80"/>
              <w:right w:type="dxa" w:w="120"/>
            </w:tcMar>
            <w:vAlign w:val="center"/>
          </w:tcPr>
          <w:p>
            <w:pPr>
              <w:spacing w:after="0" w:before="0"/>
              <w:jc w:val="center"/>
            </w:pPr>
            <w:r>
              <w:rPr>
                <w:b/>
                <w:bCs/>
                <w:color w:val="1B3A5C"/>
                <w:sz w:val="20"/>
                <w:szCs w:val="20"/>
              </w:rPr>
              <w:t xml:space="preserve">Cura</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1.7  Financial viability evidence</w:t>
            </w:r>
          </w:p>
          <w:p>
            <w:pPr>
              <w:spacing w:after="0" w:before="0"/>
            </w:pPr>
            <w:r>
              <w:rPr>
                <w:sz w:val="20"/>
                <w:szCs w:val="20"/>
              </w:rPr>
              <w:t xml:space="preserve">Provide proof of funding and, for an existing company, the last two years of accounts. New companies do not need accounts but must still demonstrate viability.</w:t>
            </w:r>
          </w:p>
        </w:tc>
        <w:tc>
          <w:tcPr>
            <w:tcW w:type="dxa" w:w="1600"/>
            <w:tcBorders>
              <w:top w:val="single" w:color="BFBFBF" w:sz="1"/>
              <w:left w:val="single" w:color="BFBFBF" w:sz="1"/>
              <w:bottom w:val="single" w:color="BFBFBF" w:sz="1"/>
              <w:right w:val="single" w:color="BFBFBF" w:sz="1"/>
            </w:tcBorders>
            <w:shd w:fill="E0EFF1" w:val="clear"/>
            <w:tcMar>
              <w:top w:type="dxa" w:w="80"/>
              <w:left w:type="dxa" w:w="120"/>
              <w:bottom w:type="dxa" w:w="80"/>
              <w:right w:type="dxa" w:w="120"/>
            </w:tcMar>
            <w:vAlign w:val="center"/>
          </w:tcPr>
          <w:p>
            <w:pPr>
              <w:spacing w:after="0" w:before="0"/>
              <w:jc w:val="center"/>
            </w:pPr>
            <w:r>
              <w:rPr>
                <w:b/>
                <w:bCs/>
                <w:color w:val="1B3A5C"/>
                <w:sz w:val="20"/>
                <w:szCs w:val="20"/>
              </w:rPr>
              <w:t xml:space="preserve">Provider</w:t>
            </w:r>
          </w:p>
        </w:tc>
      </w:tr>
    </w:tbl>
    <w:p>
      <w:pPr>
        <w:spacing w:after="160" w:before="0"/>
      </w:pPr>
      <w:r>
        <w:rPr>
          <w:sz w:val="8"/>
          <w:szCs w:val="8"/>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7426"/>
        <w:gridCol w:w="1600"/>
      </w:tblGrid>
      <w:tr>
        <w:trPr>
          <w:tblHeader/>
        </w:trPr>
        <w:tc>
          <w:tcPr>
            <w:tcW w:type="dxa" w:w="9026"/>
            <w:gridSpan w:val="2"/>
            <w:tcBorders>
              <w:top w:val="single" w:color="BFBFBF" w:sz="1"/>
              <w:left w:val="single" w:color="BFBFBF" w:sz="1"/>
              <w:bottom w:val="single" w:color="BFBFBF" w:sz="1"/>
              <w:right w:val="single" w:color="BFBFBF" w:sz="1"/>
            </w:tcBorders>
            <w:shd w:fill="1B3A5C" w:val="clear"/>
            <w:tcMar>
              <w:top w:type="dxa" w:w="80"/>
              <w:left w:type="dxa" w:w="120"/>
              <w:bottom w:type="dxa" w:w="80"/>
              <w:right w:type="dxa" w:w="120"/>
            </w:tcMar>
          </w:tcPr>
          <w:p>
            <w:pPr>
              <w:spacing w:after="20" w:before="20"/>
            </w:pPr>
            <w:r>
              <w:rPr>
                <w:b/>
                <w:bCs/>
                <w:color w:val="FFFFFF"/>
                <w:sz w:val="22"/>
                <w:szCs w:val="22"/>
              </w:rPr>
              <w:t xml:space="preserve">PHASE 2  —  PEOPLE AND MANAGEMENT</w:t>
            </w:r>
          </w:p>
        </w:tc>
      </w:tr>
      <w:tr>
        <w:trPr>
          <w:tblHeader/>
        </w:trPr>
        <w:tc>
          <w:tcPr>
            <w:tcW w:type="dxa" w:w="7426"/>
            <w:tcBorders>
              <w:top w:val="single" w:color="BFBFBF" w:sz="1"/>
              <w:left w:val="single" w:color="BFBFBF" w:sz="1"/>
              <w:bottom w:val="single" w:color="BFBFBF" w:sz="1"/>
              <w:right w:val="single" w:color="BFBFBF" w:sz="1"/>
            </w:tcBorders>
            <w:shd w:fill="2E7D8C" w:val="clear"/>
            <w:tcMar>
              <w:top w:type="dxa" w:w="80"/>
              <w:left w:type="dxa" w:w="120"/>
              <w:bottom w:type="dxa" w:w="80"/>
              <w:right w:type="dxa" w:w="120"/>
            </w:tcMar>
          </w:tcPr>
          <w:p>
            <w:pPr>
              <w:spacing w:after="0" w:before="0"/>
              <w:jc w:val="left"/>
            </w:pPr>
            <w:r>
              <w:rPr>
                <w:b/>
                <w:bCs/>
                <w:color w:val="FFFFFF"/>
                <w:sz w:val="20"/>
                <w:szCs w:val="20"/>
              </w:rPr>
              <w:t xml:space="preserve">Action</w:t>
            </w:r>
          </w:p>
        </w:tc>
        <w:tc>
          <w:tcPr>
            <w:tcW w:type="dxa" w:w="1600"/>
            <w:tcBorders>
              <w:top w:val="single" w:color="BFBFBF" w:sz="1"/>
              <w:left w:val="single" w:color="BFBFBF" w:sz="1"/>
              <w:bottom w:val="single" w:color="BFBFBF" w:sz="1"/>
              <w:right w:val="single" w:color="BFBFBF" w:sz="1"/>
            </w:tcBorders>
            <w:shd w:fill="2E7D8C" w:val="clear"/>
            <w:tcMar>
              <w:top w:type="dxa" w:w="80"/>
              <w:left w:type="dxa" w:w="120"/>
              <w:bottom w:type="dxa" w:w="80"/>
              <w:right w:type="dxa" w:w="120"/>
            </w:tcMar>
          </w:tcPr>
          <w:p>
            <w:pPr>
              <w:spacing w:after="0" w:before="0"/>
              <w:jc w:val="center"/>
            </w:pPr>
            <w:r>
              <w:rPr>
                <w:b/>
                <w:bCs/>
                <w:color w:val="FFFFFF"/>
                <w:sz w:val="20"/>
                <w:szCs w:val="20"/>
              </w:rPr>
              <w:t xml:space="preserve">Lead</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2.1  Appoint the Registered Manager</w:t>
            </w:r>
          </w:p>
          <w:p>
            <w:pPr>
              <w:spacing w:after="40" w:before="0"/>
            </w:pPr>
            <w:r>
              <w:rPr>
                <w:sz w:val="20"/>
                <w:szCs w:val="20"/>
              </w:rPr>
              <w:t xml:space="preserve">Appoint a manager who holds, or is working towards, the Level 5 Diploma in Leadership and Management for Residential Childcare (England) and who meets the experience test: within the last 5 years, at least 2 years in a role relevant to the residential care of children and at least 1 year supervising or managing staff in a care role.</w:t>
            </w:r>
          </w:p>
          <w:p>
            <w:pPr>
              <w:spacing w:after="0" w:before="0"/>
            </w:pPr>
            <w:r>
              <w:rPr>
                <w:sz w:val="20"/>
                <w:szCs w:val="20"/>
              </w:rPr>
              <w:t xml:space="preserve">Applying without a suitably qualified manager is a common cause of delay or refusal.</w:t>
            </w:r>
          </w:p>
        </w:tc>
        <w:tc>
          <w:tcPr>
            <w:tcW w:type="dxa" w:w="1600"/>
            <w:tcBorders>
              <w:top w:val="single" w:color="BFBFBF" w:sz="1"/>
              <w:left w:val="single" w:color="BFBFBF" w:sz="1"/>
              <w:bottom w:val="single" w:color="BFBFBF" w:sz="1"/>
              <w:right w:val="single" w:color="BFBFBF" w:sz="1"/>
            </w:tcBorders>
            <w:shd w:fill="E0EFF1" w:val="clear"/>
            <w:tcMar>
              <w:top w:type="dxa" w:w="80"/>
              <w:left w:type="dxa" w:w="120"/>
              <w:bottom w:type="dxa" w:w="80"/>
              <w:right w:type="dxa" w:w="120"/>
            </w:tcMar>
            <w:vAlign w:val="center"/>
          </w:tcPr>
          <w:p>
            <w:pPr>
              <w:spacing w:after="0" w:before="0"/>
              <w:jc w:val="center"/>
            </w:pPr>
            <w:r>
              <w:rPr>
                <w:b/>
                <w:bCs/>
                <w:color w:val="1B3A5C"/>
                <w:sz w:val="20"/>
                <w:szCs w:val="20"/>
              </w:rPr>
              <w:t xml:space="preserve">Provider</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2.2  Confirm the Responsible Individual (RI)</w:t>
            </w:r>
          </w:p>
          <w:p>
            <w:pPr>
              <w:spacing w:after="0" w:before="0"/>
            </w:pPr>
            <w:r>
              <w:rPr>
                <w:sz w:val="20"/>
                <w:szCs w:val="20"/>
              </w:rPr>
              <w:t xml:space="preserve">The RI must be a director, manager, secretary or officer of the organisation. Ofsted now expects the RI to be internal to the provider, not an external appointee.</w:t>
            </w:r>
          </w:p>
        </w:tc>
        <w:tc>
          <w:tcPr>
            <w:tcW w:type="dxa" w:w="1600"/>
            <w:tcBorders>
              <w:top w:val="single" w:color="BFBFBF" w:sz="1"/>
              <w:left w:val="single" w:color="BFBFBF" w:sz="1"/>
              <w:bottom w:val="single" w:color="BFBFBF" w:sz="1"/>
              <w:right w:val="single" w:color="BFBFBF" w:sz="1"/>
            </w:tcBorders>
            <w:shd w:fill="E0EFF1" w:val="clear"/>
            <w:tcMar>
              <w:top w:type="dxa" w:w="80"/>
              <w:left w:type="dxa" w:w="120"/>
              <w:bottom w:type="dxa" w:w="80"/>
              <w:right w:type="dxa" w:w="120"/>
            </w:tcMar>
            <w:vAlign w:val="center"/>
          </w:tcPr>
          <w:p>
            <w:pPr>
              <w:spacing w:after="0" w:before="0"/>
              <w:jc w:val="center"/>
            </w:pPr>
            <w:r>
              <w:rPr>
                <w:b/>
                <w:bCs/>
                <w:color w:val="1B3A5C"/>
                <w:sz w:val="20"/>
                <w:szCs w:val="20"/>
              </w:rPr>
              <w:t xml:space="preserve">Provider</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2.3  Recruit the staff team to open</w:t>
            </w:r>
          </w:p>
          <w:p>
            <w:pPr>
              <w:spacing w:after="0" w:before="0"/>
            </w:pPr>
            <w:r>
              <w:rPr>
                <w:sz w:val="20"/>
                <w:szCs w:val="20"/>
              </w:rPr>
              <w:t xml:space="preserve">Recruit enough suitably experienced staff, with enhanced DBS checks and references, to open and accept the first child. A full team is not required at the visit, but the home must be genuinely ready to open. Safer-recruitment practice must be followed throughout.</w:t>
            </w:r>
          </w:p>
        </w:tc>
        <w:tc>
          <w:tcPr>
            <w:tcW w:type="dxa" w:w="1600"/>
            <w:tcBorders>
              <w:top w:val="single" w:color="BFBFBF" w:sz="1"/>
              <w:left w:val="single" w:color="BFBFBF" w:sz="1"/>
              <w:bottom w:val="single" w:color="BFBFBF" w:sz="1"/>
              <w:right w:val="single" w:color="BFBFBF" w:sz="1"/>
            </w:tcBorders>
            <w:shd w:fill="E0EFF1" w:val="clear"/>
            <w:tcMar>
              <w:top w:type="dxa" w:w="80"/>
              <w:left w:type="dxa" w:w="120"/>
              <w:bottom w:type="dxa" w:w="80"/>
              <w:right w:type="dxa" w:w="120"/>
            </w:tcMar>
            <w:vAlign w:val="center"/>
          </w:tcPr>
          <w:p>
            <w:pPr>
              <w:spacing w:after="0" w:before="0"/>
              <w:jc w:val="center"/>
            </w:pPr>
            <w:r>
              <w:rPr>
                <w:b/>
                <w:bCs/>
                <w:color w:val="1B3A5C"/>
                <w:sz w:val="20"/>
                <w:szCs w:val="20"/>
              </w:rPr>
              <w:t xml:space="preserve">Provider</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2.4  Personnel files and recruitment records</w:t>
            </w:r>
          </w:p>
          <w:p>
            <w:pPr>
              <w:spacing w:after="0" w:before="0"/>
            </w:pPr>
            <w:r>
              <w:rPr>
                <w:sz w:val="20"/>
                <w:szCs w:val="20"/>
              </w:rPr>
              <w:t xml:space="preserve">Hold complete recruitment records for every member of staff recruited before the visit — including the manager and RI — and have them available at the registration visit.</w:t>
            </w:r>
          </w:p>
        </w:tc>
        <w:tc>
          <w:tcPr>
            <w:tcW w:type="dxa" w:w="1600"/>
            <w:tcBorders>
              <w:top w:val="single" w:color="BFBFBF" w:sz="1"/>
              <w:left w:val="single" w:color="BFBFBF" w:sz="1"/>
              <w:bottom w:val="single" w:color="BFBFBF" w:sz="1"/>
              <w:right w:val="single" w:color="BFBFBF" w:sz="1"/>
            </w:tcBorders>
            <w:shd w:fill="E0EFF1" w:val="clear"/>
            <w:tcMar>
              <w:top w:type="dxa" w:w="80"/>
              <w:left w:type="dxa" w:w="120"/>
              <w:bottom w:type="dxa" w:w="80"/>
              <w:right w:type="dxa" w:w="120"/>
            </w:tcMar>
            <w:vAlign w:val="center"/>
          </w:tcPr>
          <w:p>
            <w:pPr>
              <w:spacing w:after="0" w:before="0"/>
              <w:jc w:val="center"/>
            </w:pPr>
            <w:r>
              <w:rPr>
                <w:b/>
                <w:bCs/>
                <w:color w:val="1B3A5C"/>
                <w:sz w:val="20"/>
                <w:szCs w:val="20"/>
              </w:rPr>
              <w:t xml:space="preserve">Provider</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2.5  Training and development plan</w:t>
            </w:r>
          </w:p>
          <w:p>
            <w:pPr>
              <w:spacing w:after="0" w:before="0"/>
            </w:pPr>
            <w:r>
              <w:rPr>
                <w:sz w:val="20"/>
                <w:szCs w:val="20"/>
              </w:rPr>
              <w:t xml:space="preserve">Cura proposes the training courses and supervision framework the team needs; the provider identifies the training provider and arranges delivery so the team is ready for the visit.</w:t>
            </w:r>
          </w:p>
        </w:tc>
        <w:tc>
          <w:tcPr>
            <w:tcW w:type="dxa" w:w="1600"/>
            <w:tcBorders>
              <w:top w:val="single" w:color="BFBFBF" w:sz="1"/>
              <w:left w:val="single" w:color="BFBFBF" w:sz="1"/>
              <w:bottom w:val="single" w:color="BFBFBF" w:sz="1"/>
              <w:right w:val="single" w:color="BFBFBF" w:sz="1"/>
            </w:tcBorders>
            <w:shd w:fill="EFEFEF" w:val="clear"/>
            <w:tcMar>
              <w:top w:type="dxa" w:w="80"/>
              <w:left w:type="dxa" w:w="120"/>
              <w:bottom w:type="dxa" w:w="80"/>
              <w:right w:type="dxa" w:w="120"/>
            </w:tcMar>
            <w:vAlign w:val="center"/>
          </w:tcPr>
          <w:p>
            <w:pPr>
              <w:spacing w:after="0" w:before="0"/>
              <w:jc w:val="center"/>
            </w:pPr>
            <w:r>
              <w:rPr>
                <w:b/>
                <w:bCs/>
                <w:color w:val="1B3A5C"/>
                <w:sz w:val="20"/>
                <w:szCs w:val="20"/>
              </w:rPr>
              <w:t xml:space="preserve">Both</w:t>
            </w:r>
          </w:p>
        </w:tc>
      </w:tr>
    </w:tbl>
    <w:p>
      <w:pPr>
        <w:spacing w:after="160" w:before="0"/>
      </w:pPr>
      <w:r>
        <w:rPr>
          <w:sz w:val="8"/>
          <w:szCs w:val="8"/>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7426"/>
        <w:gridCol w:w="1600"/>
      </w:tblGrid>
      <w:tr>
        <w:trPr>
          <w:tblHeader/>
        </w:trPr>
        <w:tc>
          <w:tcPr>
            <w:tcW w:type="dxa" w:w="9026"/>
            <w:gridSpan w:val="2"/>
            <w:tcBorders>
              <w:top w:val="single" w:color="BFBFBF" w:sz="1"/>
              <w:left w:val="single" w:color="BFBFBF" w:sz="1"/>
              <w:bottom w:val="single" w:color="BFBFBF" w:sz="1"/>
              <w:right w:val="single" w:color="BFBFBF" w:sz="1"/>
            </w:tcBorders>
            <w:shd w:fill="1B3A5C" w:val="clear"/>
            <w:tcMar>
              <w:top w:type="dxa" w:w="80"/>
              <w:left w:type="dxa" w:w="120"/>
              <w:bottom w:type="dxa" w:w="80"/>
              <w:right w:type="dxa" w:w="120"/>
            </w:tcMar>
          </w:tcPr>
          <w:p>
            <w:pPr>
              <w:spacing w:after="20" w:before="20"/>
            </w:pPr>
            <w:r>
              <w:rPr>
                <w:b/>
                <w:bCs/>
                <w:color w:val="FFFFFF"/>
                <w:sz w:val="22"/>
                <w:szCs w:val="22"/>
              </w:rPr>
              <w:t xml:space="preserve">PHASE 3  —  MULTI-AGENCY SERVICE DESIGN AND LOCATION ASSESSMENT</w:t>
            </w:r>
          </w:p>
        </w:tc>
      </w:tr>
      <w:tr>
        <w:trPr>
          <w:tblHeader/>
        </w:trPr>
        <w:tc>
          <w:tcPr>
            <w:tcW w:type="dxa" w:w="7426"/>
            <w:tcBorders>
              <w:top w:val="single" w:color="BFBFBF" w:sz="1"/>
              <w:left w:val="single" w:color="BFBFBF" w:sz="1"/>
              <w:bottom w:val="single" w:color="BFBFBF" w:sz="1"/>
              <w:right w:val="single" w:color="BFBFBF" w:sz="1"/>
            </w:tcBorders>
            <w:shd w:fill="2E7D8C" w:val="clear"/>
            <w:tcMar>
              <w:top w:type="dxa" w:w="80"/>
              <w:left w:type="dxa" w:w="120"/>
              <w:bottom w:type="dxa" w:w="80"/>
              <w:right w:type="dxa" w:w="120"/>
            </w:tcMar>
          </w:tcPr>
          <w:p>
            <w:pPr>
              <w:spacing w:after="0" w:before="0"/>
              <w:jc w:val="left"/>
            </w:pPr>
            <w:r>
              <w:rPr>
                <w:b/>
                <w:bCs/>
                <w:color w:val="FFFFFF"/>
                <w:sz w:val="20"/>
                <w:szCs w:val="20"/>
              </w:rPr>
              <w:t xml:space="preserve">Action</w:t>
            </w:r>
          </w:p>
        </w:tc>
        <w:tc>
          <w:tcPr>
            <w:tcW w:type="dxa" w:w="1600"/>
            <w:tcBorders>
              <w:top w:val="single" w:color="BFBFBF" w:sz="1"/>
              <w:left w:val="single" w:color="BFBFBF" w:sz="1"/>
              <w:bottom w:val="single" w:color="BFBFBF" w:sz="1"/>
              <w:right w:val="single" w:color="BFBFBF" w:sz="1"/>
            </w:tcBorders>
            <w:shd w:fill="2E7D8C" w:val="clear"/>
            <w:tcMar>
              <w:top w:type="dxa" w:w="80"/>
              <w:left w:type="dxa" w:w="120"/>
              <w:bottom w:type="dxa" w:w="80"/>
              <w:right w:type="dxa" w:w="120"/>
            </w:tcMar>
          </w:tcPr>
          <w:p>
            <w:pPr>
              <w:spacing w:after="0" w:before="0"/>
              <w:jc w:val="center"/>
            </w:pPr>
            <w:r>
              <w:rPr>
                <w:b/>
                <w:bCs/>
                <w:color w:val="FFFFFF"/>
                <w:sz w:val="20"/>
                <w:szCs w:val="20"/>
              </w:rPr>
              <w:t xml:space="preserve">Lead</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3.1  Location (locality) assessment</w:t>
            </w:r>
          </w:p>
          <w:p>
            <w:pPr>
              <w:spacing w:after="0" w:before="0"/>
            </w:pPr>
            <w:r>
              <w:rPr>
                <w:sz w:val="20"/>
                <w:szCs w:val="20"/>
              </w:rPr>
              <w:t xml:space="preserve">Cura drafts a thorough assessment covering safeguarding, exploitation and county-lines risk, isolation, proximity to other children's homes, environmental hazards, access to education, health, leisure and faith services, and the ability to recruit staff locally — with a clear plan for how each risk is minimised. The provider supplies local knowledge and supporting evidence.</w:t>
            </w:r>
          </w:p>
        </w:tc>
        <w:tc>
          <w:tcPr>
            <w:tcW w:type="dxa" w:w="1600"/>
            <w:tcBorders>
              <w:top w:val="single" w:color="BFBFBF" w:sz="1"/>
              <w:left w:val="single" w:color="BFBFBF" w:sz="1"/>
              <w:bottom w:val="single" w:color="BFBFBF" w:sz="1"/>
              <w:right w:val="single" w:color="BFBFBF" w:sz="1"/>
            </w:tcBorders>
            <w:shd w:fill="EFEFEF" w:val="clear"/>
            <w:tcMar>
              <w:top w:type="dxa" w:w="80"/>
              <w:left w:type="dxa" w:w="120"/>
              <w:bottom w:type="dxa" w:w="80"/>
              <w:right w:type="dxa" w:w="120"/>
            </w:tcMar>
            <w:vAlign w:val="center"/>
          </w:tcPr>
          <w:p>
            <w:pPr>
              <w:spacing w:after="0" w:before="0"/>
              <w:jc w:val="center"/>
            </w:pPr>
            <w:r>
              <w:rPr>
                <w:b/>
                <w:bCs/>
                <w:color w:val="1B3A5C"/>
                <w:sz w:val="20"/>
                <w:szCs w:val="20"/>
              </w:rPr>
              <w:t xml:space="preserve">Both</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3.2  Police engagement</w:t>
            </w:r>
          </w:p>
          <w:p>
            <w:pPr>
              <w:spacing w:after="0" w:before="0"/>
            </w:pPr>
            <w:r>
              <w:rPr>
                <w:sz w:val="20"/>
                <w:szCs w:val="20"/>
              </w:rPr>
              <w:t xml:space="preserve">Consult the local police, obtain area crime and exploitation information, and agree missing-from-home and return-interview arrangements. Their views must be reflected in the location assessment and the contact recorded.</w:t>
            </w:r>
          </w:p>
        </w:tc>
        <w:tc>
          <w:tcPr>
            <w:tcW w:type="dxa" w:w="1600"/>
            <w:tcBorders>
              <w:top w:val="single" w:color="BFBFBF" w:sz="1"/>
              <w:left w:val="single" w:color="BFBFBF" w:sz="1"/>
              <w:bottom w:val="single" w:color="BFBFBF" w:sz="1"/>
              <w:right w:val="single" w:color="BFBFBF" w:sz="1"/>
            </w:tcBorders>
            <w:shd w:fill="E0EFF1" w:val="clear"/>
            <w:tcMar>
              <w:top w:type="dxa" w:w="80"/>
              <w:left w:type="dxa" w:w="120"/>
              <w:bottom w:type="dxa" w:w="80"/>
              <w:right w:type="dxa" w:w="120"/>
            </w:tcMar>
            <w:vAlign w:val="center"/>
          </w:tcPr>
          <w:p>
            <w:pPr>
              <w:spacing w:after="0" w:before="0"/>
              <w:jc w:val="center"/>
            </w:pPr>
            <w:r>
              <w:rPr>
                <w:b/>
                <w:bCs/>
                <w:color w:val="1B3A5C"/>
                <w:sz w:val="20"/>
                <w:szCs w:val="20"/>
              </w:rPr>
              <w:t xml:space="preserve">Provider</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3.3  Local authority children's services and safeguarding partnership</w:t>
            </w:r>
          </w:p>
          <w:p>
            <w:pPr>
              <w:spacing w:after="0" w:before="0"/>
            </w:pPr>
            <w:r>
              <w:rPr>
                <w:sz w:val="20"/>
                <w:szCs w:val="20"/>
              </w:rPr>
              <w:t xml:space="preserve">Ask the host local authority what they think about a new children's home in the area, align with the local safeguarding children partnership, and agree placement and notification protocols. Inspectors will ask for evidence of this contact.</w:t>
            </w:r>
          </w:p>
        </w:tc>
        <w:tc>
          <w:tcPr>
            <w:tcW w:type="dxa" w:w="1600"/>
            <w:tcBorders>
              <w:top w:val="single" w:color="BFBFBF" w:sz="1"/>
              <w:left w:val="single" w:color="BFBFBF" w:sz="1"/>
              <w:bottom w:val="single" w:color="BFBFBF" w:sz="1"/>
              <w:right w:val="single" w:color="BFBFBF" w:sz="1"/>
            </w:tcBorders>
            <w:shd w:fill="E0EFF1" w:val="clear"/>
            <w:tcMar>
              <w:top w:type="dxa" w:w="80"/>
              <w:left w:type="dxa" w:w="120"/>
              <w:bottom w:type="dxa" w:w="80"/>
              <w:right w:type="dxa" w:w="120"/>
            </w:tcMar>
            <w:vAlign w:val="center"/>
          </w:tcPr>
          <w:p>
            <w:pPr>
              <w:spacing w:after="0" w:before="0"/>
              <w:jc w:val="center"/>
            </w:pPr>
            <w:r>
              <w:rPr>
                <w:b/>
                <w:bCs/>
                <w:color w:val="1B3A5C"/>
                <w:sz w:val="20"/>
                <w:szCs w:val="20"/>
              </w:rPr>
              <w:t xml:space="preserve">Provider</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3.4  Health services</w:t>
            </w:r>
          </w:p>
          <w:p>
            <w:pPr>
              <w:spacing w:after="0" w:before="0"/>
            </w:pPr>
            <w:r>
              <w:rPr>
                <w:sz w:val="20"/>
                <w:szCs w:val="20"/>
              </w:rPr>
              <w:t xml:space="preserve">Establish access to GP registration, CAMHS, sexual health, dental and immunisation services, and links with the integrated care board, so children's health needs can be met from day one.</w:t>
            </w:r>
          </w:p>
        </w:tc>
        <w:tc>
          <w:tcPr>
            <w:tcW w:type="dxa" w:w="1600"/>
            <w:tcBorders>
              <w:top w:val="single" w:color="BFBFBF" w:sz="1"/>
              <w:left w:val="single" w:color="BFBFBF" w:sz="1"/>
              <w:bottom w:val="single" w:color="BFBFBF" w:sz="1"/>
              <w:right w:val="single" w:color="BFBFBF" w:sz="1"/>
            </w:tcBorders>
            <w:shd w:fill="E0EFF1" w:val="clear"/>
            <w:tcMar>
              <w:top w:type="dxa" w:w="80"/>
              <w:left w:type="dxa" w:w="120"/>
              <w:bottom w:type="dxa" w:w="80"/>
              <w:right w:type="dxa" w:w="120"/>
            </w:tcMar>
            <w:vAlign w:val="center"/>
          </w:tcPr>
          <w:p>
            <w:pPr>
              <w:spacing w:after="0" w:before="0"/>
              <w:jc w:val="center"/>
            </w:pPr>
            <w:r>
              <w:rPr>
                <w:b/>
                <w:bCs/>
                <w:color w:val="1B3A5C"/>
                <w:sz w:val="20"/>
                <w:szCs w:val="20"/>
              </w:rPr>
              <w:t xml:space="preserve">Provider</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3.5  Education (ETE) links</w:t>
            </w:r>
          </w:p>
          <w:p>
            <w:pPr>
              <w:spacing w:after="0" w:before="0"/>
            </w:pPr>
            <w:r>
              <w:rPr>
                <w:sz w:val="20"/>
                <w:szCs w:val="20"/>
              </w:rPr>
              <w:t xml:space="preserve">Confirm routes to school or college places, the virtual school, and post-16 education, training and employment for the children the home will care for.</w:t>
            </w:r>
          </w:p>
        </w:tc>
        <w:tc>
          <w:tcPr>
            <w:tcW w:type="dxa" w:w="1600"/>
            <w:tcBorders>
              <w:top w:val="single" w:color="BFBFBF" w:sz="1"/>
              <w:left w:val="single" w:color="BFBFBF" w:sz="1"/>
              <w:bottom w:val="single" w:color="BFBFBF" w:sz="1"/>
              <w:right w:val="single" w:color="BFBFBF" w:sz="1"/>
            </w:tcBorders>
            <w:shd w:fill="E0EFF1" w:val="clear"/>
            <w:tcMar>
              <w:top w:type="dxa" w:w="80"/>
              <w:left w:type="dxa" w:w="120"/>
              <w:bottom w:type="dxa" w:w="80"/>
              <w:right w:type="dxa" w:w="120"/>
            </w:tcMar>
            <w:vAlign w:val="center"/>
          </w:tcPr>
          <w:p>
            <w:pPr>
              <w:spacing w:after="0" w:before="0"/>
              <w:jc w:val="center"/>
            </w:pPr>
            <w:r>
              <w:rPr>
                <w:b/>
                <w:bCs/>
                <w:color w:val="1B3A5C"/>
                <w:sz w:val="20"/>
                <w:szCs w:val="20"/>
              </w:rPr>
              <w:t xml:space="preserve">Provider</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3.6  Multi-agency evidence pack</w:t>
            </w:r>
          </w:p>
          <w:p>
            <w:pPr>
              <w:spacing w:after="0" w:before="0"/>
            </w:pPr>
            <w:r>
              <w:rPr>
                <w:sz w:val="20"/>
                <w:szCs w:val="20"/>
              </w:rPr>
              <w:t xml:space="preserve">The provider compiles and retains the record of all consultation and correspondence with police, children’s services, health and education, ready to present to the inspector.</w:t>
            </w:r>
          </w:p>
        </w:tc>
        <w:tc>
          <w:tcPr>
            <w:tcW w:type="dxa" w:w="1600"/>
            <w:tcBorders>
              <w:top w:val="single" w:color="BFBFBF" w:sz="1"/>
              <w:left w:val="single" w:color="BFBFBF" w:sz="1"/>
              <w:bottom w:val="single" w:color="BFBFBF" w:sz="1"/>
              <w:right w:val="single" w:color="BFBFBF" w:sz="1"/>
            </w:tcBorders>
            <w:shd w:fill="E0EFF1" w:val="clear"/>
            <w:tcMar>
              <w:top w:type="dxa" w:w="80"/>
              <w:left w:type="dxa" w:w="120"/>
              <w:bottom w:type="dxa" w:w="80"/>
              <w:right w:type="dxa" w:w="120"/>
            </w:tcMar>
            <w:vAlign w:val="center"/>
          </w:tcPr>
          <w:p>
            <w:pPr>
              <w:spacing w:after="0" w:before="0"/>
              <w:jc w:val="center"/>
            </w:pPr>
            <w:r>
              <w:rPr>
                <w:b/>
                <w:bCs/>
                <w:color w:val="1B3A5C"/>
                <w:sz w:val="20"/>
                <w:szCs w:val="20"/>
              </w:rPr>
              <w:t xml:space="preserve">Provider</w:t>
            </w:r>
          </w:p>
        </w:tc>
      </w:tr>
    </w:tbl>
    <w:p>
      <w:pPr>
        <w:spacing w:after="160" w:before="0"/>
      </w:pPr>
      <w:r>
        <w:rPr>
          <w:sz w:val="8"/>
          <w:szCs w:val="8"/>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7426"/>
        <w:gridCol w:w="1600"/>
      </w:tblGrid>
      <w:tr>
        <w:trPr>
          <w:tblHeader/>
        </w:trPr>
        <w:tc>
          <w:tcPr>
            <w:tcW w:type="dxa" w:w="9026"/>
            <w:gridSpan w:val="2"/>
            <w:tcBorders>
              <w:top w:val="single" w:color="BFBFBF" w:sz="1"/>
              <w:left w:val="single" w:color="BFBFBF" w:sz="1"/>
              <w:bottom w:val="single" w:color="BFBFBF" w:sz="1"/>
              <w:right w:val="single" w:color="BFBFBF" w:sz="1"/>
            </w:tcBorders>
            <w:shd w:fill="1B3A5C" w:val="clear"/>
            <w:tcMar>
              <w:top w:type="dxa" w:w="80"/>
              <w:left w:type="dxa" w:w="120"/>
              <w:bottom w:type="dxa" w:w="80"/>
              <w:right w:type="dxa" w:w="120"/>
            </w:tcMar>
          </w:tcPr>
          <w:p>
            <w:pPr>
              <w:spacing w:after="20" w:before="20"/>
            </w:pPr>
            <w:r>
              <w:rPr>
                <w:b/>
                <w:bCs/>
                <w:color w:val="FFFFFF"/>
                <w:sz w:val="22"/>
                <w:szCs w:val="22"/>
              </w:rPr>
              <w:t xml:space="preserve">PHASE 4  —  DOCUMENTATION</w:t>
            </w:r>
          </w:p>
        </w:tc>
      </w:tr>
      <w:tr>
        <w:trPr>
          <w:tblHeader/>
        </w:trPr>
        <w:tc>
          <w:tcPr>
            <w:tcW w:type="dxa" w:w="7426"/>
            <w:tcBorders>
              <w:top w:val="single" w:color="BFBFBF" w:sz="1"/>
              <w:left w:val="single" w:color="BFBFBF" w:sz="1"/>
              <w:bottom w:val="single" w:color="BFBFBF" w:sz="1"/>
              <w:right w:val="single" w:color="BFBFBF" w:sz="1"/>
            </w:tcBorders>
            <w:shd w:fill="2E7D8C" w:val="clear"/>
            <w:tcMar>
              <w:top w:type="dxa" w:w="80"/>
              <w:left w:type="dxa" w:w="120"/>
              <w:bottom w:type="dxa" w:w="80"/>
              <w:right w:type="dxa" w:w="120"/>
            </w:tcMar>
          </w:tcPr>
          <w:p>
            <w:pPr>
              <w:spacing w:after="0" w:before="0"/>
              <w:jc w:val="left"/>
            </w:pPr>
            <w:r>
              <w:rPr>
                <w:b/>
                <w:bCs/>
                <w:color w:val="FFFFFF"/>
                <w:sz w:val="20"/>
                <w:szCs w:val="20"/>
              </w:rPr>
              <w:t xml:space="preserve">Action</w:t>
            </w:r>
          </w:p>
        </w:tc>
        <w:tc>
          <w:tcPr>
            <w:tcW w:type="dxa" w:w="1600"/>
            <w:tcBorders>
              <w:top w:val="single" w:color="BFBFBF" w:sz="1"/>
              <w:left w:val="single" w:color="BFBFBF" w:sz="1"/>
              <w:bottom w:val="single" w:color="BFBFBF" w:sz="1"/>
              <w:right w:val="single" w:color="BFBFBF" w:sz="1"/>
            </w:tcBorders>
            <w:shd w:fill="2E7D8C" w:val="clear"/>
            <w:tcMar>
              <w:top w:type="dxa" w:w="80"/>
              <w:left w:type="dxa" w:w="120"/>
              <w:bottom w:type="dxa" w:w="80"/>
              <w:right w:type="dxa" w:w="120"/>
            </w:tcMar>
          </w:tcPr>
          <w:p>
            <w:pPr>
              <w:spacing w:after="0" w:before="0"/>
              <w:jc w:val="center"/>
            </w:pPr>
            <w:r>
              <w:rPr>
                <w:b/>
                <w:bCs/>
                <w:color w:val="FFFFFF"/>
                <w:sz w:val="20"/>
                <w:szCs w:val="20"/>
              </w:rPr>
              <w:t xml:space="preserve">Lead</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4.1  Statement of Purpose (one per home)</w:t>
            </w:r>
          </w:p>
          <w:p>
            <w:pPr>
              <w:spacing w:after="0" w:before="0"/>
            </w:pPr>
            <w:r>
              <w:rPr>
                <w:sz w:val="20"/>
                <w:szCs w:val="20"/>
              </w:rPr>
              <w:t xml:space="preserve">Cura writes a Statement of Purpose meeting Schedule 1 of the Children's Homes (England) Regulations 2015, reflecting the ethos, the children's needs, staffing and the care approach. Ofsted weighs its quality when judging fitness.</w:t>
            </w:r>
          </w:p>
        </w:tc>
        <w:tc>
          <w:tcPr>
            <w:tcW w:type="dxa" w:w="1600"/>
            <w:tcBorders>
              <w:top w:val="single" w:color="BFBFBF" w:sz="1"/>
              <w:left w:val="single" w:color="BFBFBF" w:sz="1"/>
              <w:bottom w:val="single" w:color="BFBFBF" w:sz="1"/>
              <w:right w:val="single" w:color="BFBFBF" w:sz="1"/>
            </w:tcBorders>
            <w:shd w:fill="E3EAF0" w:val="clear"/>
            <w:tcMar>
              <w:top w:type="dxa" w:w="80"/>
              <w:left w:type="dxa" w:w="120"/>
              <w:bottom w:type="dxa" w:w="80"/>
              <w:right w:type="dxa" w:w="120"/>
            </w:tcMar>
            <w:vAlign w:val="center"/>
          </w:tcPr>
          <w:p>
            <w:pPr>
              <w:spacing w:after="0" w:before="0"/>
              <w:jc w:val="center"/>
            </w:pPr>
            <w:r>
              <w:rPr>
                <w:b/>
                <w:bCs/>
                <w:color w:val="1B3A5C"/>
                <w:sz w:val="20"/>
                <w:szCs w:val="20"/>
              </w:rPr>
              <w:t xml:space="preserve">Cura</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4.2  Children's Guide</w:t>
            </w:r>
          </w:p>
          <w:p>
            <w:pPr>
              <w:spacing w:after="0" w:before="0"/>
            </w:pPr>
            <w:r>
              <w:rPr>
                <w:sz w:val="20"/>
                <w:szCs w:val="20"/>
              </w:rPr>
              <w:t xml:space="preserve">An accessible, age-appropriate guide explaining the home and how a child can raise concerns, including how to contact the Children's Commissioner and Ofsted.</w:t>
            </w:r>
          </w:p>
        </w:tc>
        <w:tc>
          <w:tcPr>
            <w:tcW w:type="dxa" w:w="1600"/>
            <w:tcBorders>
              <w:top w:val="single" w:color="BFBFBF" w:sz="1"/>
              <w:left w:val="single" w:color="BFBFBF" w:sz="1"/>
              <w:bottom w:val="single" w:color="BFBFBF" w:sz="1"/>
              <w:right w:val="single" w:color="BFBFBF" w:sz="1"/>
            </w:tcBorders>
            <w:shd w:fill="E3EAF0" w:val="clear"/>
            <w:tcMar>
              <w:top w:type="dxa" w:w="80"/>
              <w:left w:type="dxa" w:w="120"/>
              <w:bottom w:type="dxa" w:w="80"/>
              <w:right w:type="dxa" w:w="120"/>
            </w:tcMar>
            <w:vAlign w:val="center"/>
          </w:tcPr>
          <w:p>
            <w:pPr>
              <w:spacing w:after="0" w:before="0"/>
              <w:jc w:val="center"/>
            </w:pPr>
            <w:r>
              <w:rPr>
                <w:b/>
                <w:bCs/>
                <w:color w:val="1B3A5C"/>
                <w:sz w:val="20"/>
                <w:szCs w:val="20"/>
              </w:rPr>
              <w:t xml:space="preserve">Cura</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4.3  Policies required at application</w:t>
            </w:r>
          </w:p>
          <w:p>
            <w:pPr>
              <w:spacing w:after="0" w:before="0"/>
            </w:pPr>
            <w:r>
              <w:rPr>
                <w:sz w:val="20"/>
                <w:szCs w:val="20"/>
              </w:rPr>
              <w:t xml:space="preserve">Missing child; positive behaviour support; safeguarding; prevention of bullying; and complaints. These must be submitted with the SC1 and must reflect local authority protocols and the children's needs.</w:t>
            </w:r>
          </w:p>
        </w:tc>
        <w:tc>
          <w:tcPr>
            <w:tcW w:type="dxa" w:w="1600"/>
            <w:tcBorders>
              <w:top w:val="single" w:color="BFBFBF" w:sz="1"/>
              <w:left w:val="single" w:color="BFBFBF" w:sz="1"/>
              <w:bottom w:val="single" w:color="BFBFBF" w:sz="1"/>
              <w:right w:val="single" w:color="BFBFBF" w:sz="1"/>
            </w:tcBorders>
            <w:shd w:fill="E3EAF0" w:val="clear"/>
            <w:tcMar>
              <w:top w:type="dxa" w:w="80"/>
              <w:left w:type="dxa" w:w="120"/>
              <w:bottom w:type="dxa" w:w="80"/>
              <w:right w:type="dxa" w:w="120"/>
            </w:tcMar>
            <w:vAlign w:val="center"/>
          </w:tcPr>
          <w:p>
            <w:pPr>
              <w:spacing w:after="0" w:before="0"/>
              <w:jc w:val="center"/>
            </w:pPr>
            <w:r>
              <w:rPr>
                <w:b/>
                <w:bCs/>
                <w:color w:val="1B3A5C"/>
                <w:sz w:val="20"/>
                <w:szCs w:val="20"/>
              </w:rPr>
              <w:t xml:space="preserve">Cura</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4.4  Wider policy and procedure suite (optional package)</w:t>
            </w:r>
          </w:p>
          <w:p>
            <w:pPr>
              <w:spacing w:after="0" w:before="0"/>
            </w:pPr>
            <w:r>
              <w:rPr>
                <w:sz w:val="20"/>
                <w:szCs w:val="20"/>
              </w:rPr>
              <w:t xml:space="preserve">Available from Cura Compliance UK as a separate package. A wider suite of policies and procedures — behaviour support and restraint, online safety, child criminal exploitation and county lines, child sexual exploitation, self-harm, medication, recruitment, supervision, lone working, whistleblowing, significant events and notifications, records retention, information sharing, and a surveillance/CCTV policy where relevant. Ofsted asks for these at the visit.</w:t>
            </w:r>
          </w:p>
        </w:tc>
        <w:tc>
          <w:tcPr>
            <w:tcW w:type="dxa" w:w="1600"/>
            <w:tcBorders>
              <w:top w:val="single" w:color="BFBFBF" w:sz="1"/>
              <w:left w:val="single" w:color="BFBFBF" w:sz="1"/>
              <w:bottom w:val="single" w:color="BFBFBF" w:sz="1"/>
              <w:right w:val="single" w:color="BFBFBF" w:sz="1"/>
            </w:tcBorders>
            <w:shd w:fill="FBEFD3" w:val="clear"/>
            <w:tcMar>
              <w:top w:type="dxa" w:w="80"/>
              <w:left w:type="dxa" w:w="120"/>
              <w:bottom w:type="dxa" w:w="80"/>
              <w:right w:type="dxa" w:w="120"/>
            </w:tcMar>
            <w:vAlign w:val="center"/>
          </w:tcPr>
          <w:p>
            <w:pPr>
              <w:spacing w:after="0" w:before="0"/>
              <w:jc w:val="center"/>
            </w:pPr>
            <w:r>
              <w:rPr>
                <w:b/>
                <w:bCs/>
                <w:color w:val="1B3A5C"/>
                <w:sz w:val="20"/>
                <w:szCs w:val="20"/>
              </w:rPr>
              <w:t xml:space="preserve">Optional</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4.5  Quality Standards mapping</w:t>
            </w:r>
          </w:p>
          <w:p>
            <w:pPr>
              <w:spacing w:after="0" w:before="0"/>
            </w:pPr>
            <w:r>
              <w:rPr>
                <w:sz w:val="20"/>
                <w:szCs w:val="20"/>
              </w:rPr>
              <w:t xml:space="preserve">Map policy and practice to the nine quality standards: quality and purpose of care; children's wishes and feelings; education; enjoyment and achievement; health and well-being; positive relationships; protection of children; leadership and management; and care planning.</w:t>
            </w:r>
          </w:p>
        </w:tc>
        <w:tc>
          <w:tcPr>
            <w:tcW w:type="dxa" w:w="1600"/>
            <w:tcBorders>
              <w:top w:val="single" w:color="BFBFBF" w:sz="1"/>
              <w:left w:val="single" w:color="BFBFBF" w:sz="1"/>
              <w:bottom w:val="single" w:color="BFBFBF" w:sz="1"/>
              <w:right w:val="single" w:color="BFBFBF" w:sz="1"/>
            </w:tcBorders>
            <w:shd w:fill="E3EAF0" w:val="clear"/>
            <w:tcMar>
              <w:top w:type="dxa" w:w="80"/>
              <w:left w:type="dxa" w:w="120"/>
              <w:bottom w:type="dxa" w:w="80"/>
              <w:right w:type="dxa" w:w="120"/>
            </w:tcMar>
            <w:vAlign w:val="center"/>
          </w:tcPr>
          <w:p>
            <w:pPr>
              <w:spacing w:after="0" w:before="0"/>
              <w:jc w:val="center"/>
            </w:pPr>
            <w:r>
              <w:rPr>
                <w:b/>
                <w:bCs/>
                <w:color w:val="1B3A5C"/>
                <w:sz w:val="20"/>
                <w:szCs w:val="20"/>
              </w:rPr>
              <w:t xml:space="preserve">Cura</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4.6  Shared document review</w:t>
            </w:r>
          </w:p>
          <w:p>
            <w:pPr>
              <w:spacing w:after="0" w:before="0"/>
            </w:pPr>
            <w:r>
              <w:rPr>
                <w:sz w:val="20"/>
                <w:szCs w:val="20"/>
              </w:rPr>
              <w:t xml:space="preserve">Cura uploads each chapter to a shared Google Drive folder as it is completed; the provider reviews and confirms that every document accurately reflects the service.</w:t>
            </w:r>
          </w:p>
        </w:tc>
        <w:tc>
          <w:tcPr>
            <w:tcW w:type="dxa" w:w="1600"/>
            <w:tcBorders>
              <w:top w:val="single" w:color="BFBFBF" w:sz="1"/>
              <w:left w:val="single" w:color="BFBFBF" w:sz="1"/>
              <w:bottom w:val="single" w:color="BFBFBF" w:sz="1"/>
              <w:right w:val="single" w:color="BFBFBF" w:sz="1"/>
            </w:tcBorders>
            <w:shd w:fill="EFEFEF" w:val="clear"/>
            <w:tcMar>
              <w:top w:type="dxa" w:w="80"/>
              <w:left w:type="dxa" w:w="120"/>
              <w:bottom w:type="dxa" w:w="80"/>
              <w:right w:type="dxa" w:w="120"/>
            </w:tcMar>
            <w:vAlign w:val="center"/>
          </w:tcPr>
          <w:p>
            <w:pPr>
              <w:spacing w:after="0" w:before="0"/>
              <w:jc w:val="center"/>
            </w:pPr>
            <w:r>
              <w:rPr>
                <w:b/>
                <w:bCs/>
                <w:color w:val="1B3A5C"/>
                <w:sz w:val="20"/>
                <w:szCs w:val="20"/>
              </w:rPr>
              <w:t xml:space="preserve">Both</w:t>
            </w:r>
          </w:p>
        </w:tc>
      </w:tr>
    </w:tbl>
    <w:p>
      <w:pPr>
        <w:spacing w:after="160" w:before="0"/>
      </w:pPr>
      <w:r>
        <w:rPr>
          <w:sz w:val="8"/>
          <w:szCs w:val="8"/>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7426"/>
        <w:gridCol w:w="1600"/>
      </w:tblGrid>
      <w:tr>
        <w:trPr>
          <w:tblHeader/>
        </w:trPr>
        <w:tc>
          <w:tcPr>
            <w:tcW w:type="dxa" w:w="9026"/>
            <w:gridSpan w:val="2"/>
            <w:tcBorders>
              <w:top w:val="single" w:color="BFBFBF" w:sz="1"/>
              <w:left w:val="single" w:color="BFBFBF" w:sz="1"/>
              <w:bottom w:val="single" w:color="BFBFBF" w:sz="1"/>
              <w:right w:val="single" w:color="BFBFBF" w:sz="1"/>
            </w:tcBorders>
            <w:shd w:fill="1B3A5C" w:val="clear"/>
            <w:tcMar>
              <w:top w:type="dxa" w:w="80"/>
              <w:left w:type="dxa" w:w="120"/>
              <w:bottom w:type="dxa" w:w="80"/>
              <w:right w:type="dxa" w:w="120"/>
            </w:tcMar>
          </w:tcPr>
          <w:p>
            <w:pPr>
              <w:spacing w:after="20" w:before="20"/>
            </w:pPr>
            <w:r>
              <w:rPr>
                <w:b/>
                <w:bCs/>
                <w:color w:val="FFFFFF"/>
                <w:sz w:val="22"/>
                <w:szCs w:val="22"/>
              </w:rPr>
              <w:t xml:space="preserve">PHASE 5  —  PREMISES READINESS</w:t>
            </w:r>
          </w:p>
        </w:tc>
      </w:tr>
      <w:tr>
        <w:trPr>
          <w:tblHeader/>
        </w:trPr>
        <w:tc>
          <w:tcPr>
            <w:tcW w:type="dxa" w:w="7426"/>
            <w:tcBorders>
              <w:top w:val="single" w:color="BFBFBF" w:sz="1"/>
              <w:left w:val="single" w:color="BFBFBF" w:sz="1"/>
              <w:bottom w:val="single" w:color="BFBFBF" w:sz="1"/>
              <w:right w:val="single" w:color="BFBFBF" w:sz="1"/>
            </w:tcBorders>
            <w:shd w:fill="2E7D8C" w:val="clear"/>
            <w:tcMar>
              <w:top w:type="dxa" w:w="80"/>
              <w:left w:type="dxa" w:w="120"/>
              <w:bottom w:type="dxa" w:w="80"/>
              <w:right w:type="dxa" w:w="120"/>
            </w:tcMar>
          </w:tcPr>
          <w:p>
            <w:pPr>
              <w:spacing w:after="0" w:before="0"/>
              <w:jc w:val="left"/>
            </w:pPr>
            <w:r>
              <w:rPr>
                <w:b/>
                <w:bCs/>
                <w:color w:val="FFFFFF"/>
                <w:sz w:val="20"/>
                <w:szCs w:val="20"/>
              </w:rPr>
              <w:t xml:space="preserve">Action</w:t>
            </w:r>
          </w:p>
        </w:tc>
        <w:tc>
          <w:tcPr>
            <w:tcW w:type="dxa" w:w="1600"/>
            <w:tcBorders>
              <w:top w:val="single" w:color="BFBFBF" w:sz="1"/>
              <w:left w:val="single" w:color="BFBFBF" w:sz="1"/>
              <w:bottom w:val="single" w:color="BFBFBF" w:sz="1"/>
              <w:right w:val="single" w:color="BFBFBF" w:sz="1"/>
            </w:tcBorders>
            <w:shd w:fill="2E7D8C" w:val="clear"/>
            <w:tcMar>
              <w:top w:type="dxa" w:w="80"/>
              <w:left w:type="dxa" w:w="120"/>
              <w:bottom w:type="dxa" w:w="80"/>
              <w:right w:type="dxa" w:w="120"/>
            </w:tcMar>
          </w:tcPr>
          <w:p>
            <w:pPr>
              <w:spacing w:after="0" w:before="0"/>
              <w:jc w:val="center"/>
            </w:pPr>
            <w:r>
              <w:rPr>
                <w:b/>
                <w:bCs/>
                <w:color w:val="FFFFFF"/>
                <w:sz w:val="20"/>
                <w:szCs w:val="20"/>
              </w:rPr>
              <w:t xml:space="preserve">Lead</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5.1  Health and safety risk assessment and management plan</w:t>
            </w:r>
          </w:p>
          <w:p>
            <w:pPr>
              <w:spacing w:after="0" w:before="0"/>
            </w:pPr>
            <w:r>
              <w:rPr>
                <w:sz w:val="20"/>
                <w:szCs w:val="20"/>
              </w:rPr>
              <w:t xml:space="preserve">Completed by a competent person, demonstrating that risks associated with the building have been assessed and managed. Cura advises on scope and content.</w:t>
            </w:r>
          </w:p>
        </w:tc>
        <w:tc>
          <w:tcPr>
            <w:tcW w:type="dxa" w:w="1600"/>
            <w:tcBorders>
              <w:top w:val="single" w:color="BFBFBF" w:sz="1"/>
              <w:left w:val="single" w:color="BFBFBF" w:sz="1"/>
              <w:bottom w:val="single" w:color="BFBFBF" w:sz="1"/>
              <w:right w:val="single" w:color="BFBFBF" w:sz="1"/>
            </w:tcBorders>
            <w:shd w:fill="E0EFF1" w:val="clear"/>
            <w:tcMar>
              <w:top w:type="dxa" w:w="80"/>
              <w:left w:type="dxa" w:w="120"/>
              <w:bottom w:type="dxa" w:w="80"/>
              <w:right w:type="dxa" w:w="120"/>
            </w:tcMar>
            <w:vAlign w:val="center"/>
          </w:tcPr>
          <w:p>
            <w:pPr>
              <w:spacing w:after="0" w:before="0"/>
              <w:jc w:val="center"/>
            </w:pPr>
            <w:r>
              <w:rPr>
                <w:b/>
                <w:bCs/>
                <w:color w:val="1B3A5C"/>
                <w:sz w:val="20"/>
                <w:szCs w:val="20"/>
              </w:rPr>
              <w:t xml:space="preserve">Provider</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5.2  Fire safety</w:t>
            </w:r>
          </w:p>
          <w:p>
            <w:pPr>
              <w:spacing w:after="0" w:before="0"/>
            </w:pPr>
            <w:r>
              <w:rPr>
                <w:sz w:val="20"/>
                <w:szCs w:val="20"/>
              </w:rPr>
              <w:t xml:space="preserve">A fire risk assessment by a competent person, meeting the local fire authority's requirements, with a suitably trained fire safety officer who can describe the fire procedures in place.</w:t>
            </w:r>
          </w:p>
        </w:tc>
        <w:tc>
          <w:tcPr>
            <w:tcW w:type="dxa" w:w="1600"/>
            <w:tcBorders>
              <w:top w:val="single" w:color="BFBFBF" w:sz="1"/>
              <w:left w:val="single" w:color="BFBFBF" w:sz="1"/>
              <w:bottom w:val="single" w:color="BFBFBF" w:sz="1"/>
              <w:right w:val="single" w:color="BFBFBF" w:sz="1"/>
            </w:tcBorders>
            <w:shd w:fill="E0EFF1" w:val="clear"/>
            <w:tcMar>
              <w:top w:type="dxa" w:w="80"/>
              <w:left w:type="dxa" w:w="120"/>
              <w:bottom w:type="dxa" w:w="80"/>
              <w:right w:type="dxa" w:w="120"/>
            </w:tcMar>
            <w:vAlign w:val="center"/>
          </w:tcPr>
          <w:p>
            <w:pPr>
              <w:spacing w:after="0" w:before="0"/>
              <w:jc w:val="center"/>
            </w:pPr>
            <w:r>
              <w:rPr>
                <w:b/>
                <w:bCs/>
                <w:color w:val="1B3A5C"/>
                <w:sz w:val="20"/>
                <w:szCs w:val="20"/>
              </w:rPr>
              <w:t xml:space="preserve">Provider</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5.3  Premises safety certificates</w:t>
            </w:r>
          </w:p>
          <w:p>
            <w:pPr>
              <w:spacing w:after="0" w:before="0"/>
            </w:pPr>
            <w:r>
              <w:rPr>
                <w:sz w:val="20"/>
                <w:szCs w:val="20"/>
              </w:rPr>
              <w:t xml:space="preserve">Gas safety, electrical (EICR), and maintenance certificates for any equipment (such as lifts or hoists), available at the visit.</w:t>
            </w:r>
          </w:p>
        </w:tc>
        <w:tc>
          <w:tcPr>
            <w:tcW w:type="dxa" w:w="1600"/>
            <w:tcBorders>
              <w:top w:val="single" w:color="BFBFBF" w:sz="1"/>
              <w:left w:val="single" w:color="BFBFBF" w:sz="1"/>
              <w:bottom w:val="single" w:color="BFBFBF" w:sz="1"/>
              <w:right w:val="single" w:color="BFBFBF" w:sz="1"/>
            </w:tcBorders>
            <w:shd w:fill="E0EFF1" w:val="clear"/>
            <w:tcMar>
              <w:top w:type="dxa" w:w="80"/>
              <w:left w:type="dxa" w:w="120"/>
              <w:bottom w:type="dxa" w:w="80"/>
              <w:right w:type="dxa" w:w="120"/>
            </w:tcMar>
            <w:vAlign w:val="center"/>
          </w:tcPr>
          <w:p>
            <w:pPr>
              <w:spacing w:after="0" w:before="0"/>
              <w:jc w:val="center"/>
            </w:pPr>
            <w:r>
              <w:rPr>
                <w:b/>
                <w:bCs/>
                <w:color w:val="1B3A5C"/>
                <w:sz w:val="20"/>
                <w:szCs w:val="20"/>
              </w:rPr>
              <w:t xml:space="preserve">Provider</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5.4  Building, planning and environmental compliance</w:t>
            </w:r>
          </w:p>
          <w:p>
            <w:pPr>
              <w:spacing w:after="0" w:before="0"/>
            </w:pPr>
            <w:r>
              <w:rPr>
                <w:sz w:val="20"/>
                <w:szCs w:val="20"/>
              </w:rPr>
              <w:t xml:space="preserve">Evidence that the premises comply with planning, building and environmental health legislation, including accessibility and disability requirements where applicable.</w:t>
            </w:r>
          </w:p>
        </w:tc>
        <w:tc>
          <w:tcPr>
            <w:tcW w:type="dxa" w:w="1600"/>
            <w:tcBorders>
              <w:top w:val="single" w:color="BFBFBF" w:sz="1"/>
              <w:left w:val="single" w:color="BFBFBF" w:sz="1"/>
              <w:bottom w:val="single" w:color="BFBFBF" w:sz="1"/>
              <w:right w:val="single" w:color="BFBFBF" w:sz="1"/>
            </w:tcBorders>
            <w:shd w:fill="E0EFF1" w:val="clear"/>
            <w:tcMar>
              <w:top w:type="dxa" w:w="80"/>
              <w:left w:type="dxa" w:w="120"/>
              <w:bottom w:type="dxa" w:w="80"/>
              <w:right w:type="dxa" w:w="120"/>
            </w:tcMar>
            <w:vAlign w:val="center"/>
          </w:tcPr>
          <w:p>
            <w:pPr>
              <w:spacing w:after="0" w:before="0"/>
              <w:jc w:val="center"/>
            </w:pPr>
            <w:r>
              <w:rPr>
                <w:b/>
                <w:bCs/>
                <w:color w:val="1B3A5C"/>
                <w:sz w:val="20"/>
                <w:szCs w:val="20"/>
              </w:rPr>
              <w:t xml:space="preserve">Provider</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5.5  Insurance</w:t>
            </w:r>
          </w:p>
          <w:p>
            <w:pPr>
              <w:spacing w:after="0" w:before="0"/>
            </w:pPr>
            <w:r>
              <w:rPr>
                <w:sz w:val="20"/>
                <w:szCs w:val="20"/>
              </w:rPr>
              <w:t xml:space="preserve">A certificate of insurance for death, injury, public liability, damage or other loss before the home operates — or written confirmation that it will be in place before opening.</w:t>
            </w:r>
          </w:p>
        </w:tc>
        <w:tc>
          <w:tcPr>
            <w:tcW w:type="dxa" w:w="1600"/>
            <w:tcBorders>
              <w:top w:val="single" w:color="BFBFBF" w:sz="1"/>
              <w:left w:val="single" w:color="BFBFBF" w:sz="1"/>
              <w:bottom w:val="single" w:color="BFBFBF" w:sz="1"/>
              <w:right w:val="single" w:color="BFBFBF" w:sz="1"/>
            </w:tcBorders>
            <w:shd w:fill="E0EFF1" w:val="clear"/>
            <w:tcMar>
              <w:top w:type="dxa" w:w="80"/>
              <w:left w:type="dxa" w:w="120"/>
              <w:bottom w:type="dxa" w:w="80"/>
              <w:right w:type="dxa" w:w="120"/>
            </w:tcMar>
            <w:vAlign w:val="center"/>
          </w:tcPr>
          <w:p>
            <w:pPr>
              <w:spacing w:after="0" w:before="0"/>
              <w:jc w:val="center"/>
            </w:pPr>
            <w:r>
              <w:rPr>
                <w:b/>
                <w:bCs/>
                <w:color w:val="1B3A5C"/>
                <w:sz w:val="20"/>
                <w:szCs w:val="20"/>
              </w:rPr>
              <w:t xml:space="preserve">Provider</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5.6  Furnishing and a homely environment</w:t>
            </w:r>
          </w:p>
          <w:p>
            <w:pPr>
              <w:spacing w:after="0" w:before="0"/>
            </w:pPr>
            <w:r>
              <w:rPr>
                <w:sz w:val="20"/>
                <w:szCs w:val="20"/>
              </w:rPr>
              <w:t xml:space="preserve">Equip and furnish the home to a good standard suited to the children who will live there.</w:t>
            </w:r>
          </w:p>
        </w:tc>
        <w:tc>
          <w:tcPr>
            <w:tcW w:type="dxa" w:w="1600"/>
            <w:tcBorders>
              <w:top w:val="single" w:color="BFBFBF" w:sz="1"/>
              <w:left w:val="single" w:color="BFBFBF" w:sz="1"/>
              <w:bottom w:val="single" w:color="BFBFBF" w:sz="1"/>
              <w:right w:val="single" w:color="BFBFBF" w:sz="1"/>
            </w:tcBorders>
            <w:shd w:fill="E0EFF1" w:val="clear"/>
            <w:tcMar>
              <w:top w:type="dxa" w:w="80"/>
              <w:left w:type="dxa" w:w="120"/>
              <w:bottom w:type="dxa" w:w="80"/>
              <w:right w:type="dxa" w:w="120"/>
            </w:tcMar>
            <w:vAlign w:val="center"/>
          </w:tcPr>
          <w:p>
            <w:pPr>
              <w:spacing w:after="0" w:before="0"/>
              <w:jc w:val="center"/>
            </w:pPr>
            <w:r>
              <w:rPr>
                <w:b/>
                <w:bCs/>
                <w:color w:val="1B3A5C"/>
                <w:sz w:val="20"/>
                <w:szCs w:val="20"/>
              </w:rPr>
              <w:t xml:space="preserve">Provider</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5.7  Records and recording systems</w:t>
            </w:r>
          </w:p>
          <w:p>
            <w:pPr>
              <w:spacing w:after="0" w:before="0"/>
            </w:pPr>
            <w:r>
              <w:rPr>
                <w:sz w:val="20"/>
                <w:szCs w:val="20"/>
              </w:rPr>
              <w:t xml:space="preserve">Cura advises on the recording framework; the provider sets up the paper or electronic systems for children's information and experiences, with examples ready for the visit.</w:t>
            </w:r>
          </w:p>
        </w:tc>
        <w:tc>
          <w:tcPr>
            <w:tcW w:type="dxa" w:w="1600"/>
            <w:tcBorders>
              <w:top w:val="single" w:color="BFBFBF" w:sz="1"/>
              <w:left w:val="single" w:color="BFBFBF" w:sz="1"/>
              <w:bottom w:val="single" w:color="BFBFBF" w:sz="1"/>
              <w:right w:val="single" w:color="BFBFBF" w:sz="1"/>
            </w:tcBorders>
            <w:shd w:fill="EFEFEF" w:val="clear"/>
            <w:tcMar>
              <w:top w:type="dxa" w:w="80"/>
              <w:left w:type="dxa" w:w="120"/>
              <w:bottom w:type="dxa" w:w="80"/>
              <w:right w:type="dxa" w:w="120"/>
            </w:tcMar>
            <w:vAlign w:val="center"/>
          </w:tcPr>
          <w:p>
            <w:pPr>
              <w:spacing w:after="0" w:before="0"/>
              <w:jc w:val="center"/>
            </w:pPr>
            <w:r>
              <w:rPr>
                <w:b/>
                <w:bCs/>
                <w:color w:val="1B3A5C"/>
                <w:sz w:val="20"/>
                <w:szCs w:val="20"/>
              </w:rPr>
              <w:t xml:space="preserve">Both</w:t>
            </w:r>
          </w:p>
        </w:tc>
      </w:tr>
    </w:tbl>
    <w:p>
      <w:pPr>
        <w:spacing w:after="160" w:before="0"/>
      </w:pPr>
      <w:r>
        <w:rPr>
          <w:sz w:val="8"/>
          <w:szCs w:val="8"/>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7426"/>
        <w:gridCol w:w="1600"/>
      </w:tblGrid>
      <w:tr>
        <w:trPr>
          <w:tblHeader/>
        </w:trPr>
        <w:tc>
          <w:tcPr>
            <w:tcW w:type="dxa" w:w="9026"/>
            <w:gridSpan w:val="2"/>
            <w:tcBorders>
              <w:top w:val="single" w:color="BFBFBF" w:sz="1"/>
              <w:left w:val="single" w:color="BFBFBF" w:sz="1"/>
              <w:bottom w:val="single" w:color="BFBFBF" w:sz="1"/>
              <w:right w:val="single" w:color="BFBFBF" w:sz="1"/>
            </w:tcBorders>
            <w:shd w:fill="1B3A5C" w:val="clear"/>
            <w:tcMar>
              <w:top w:type="dxa" w:w="80"/>
              <w:left w:type="dxa" w:w="120"/>
              <w:bottom w:type="dxa" w:w="80"/>
              <w:right w:type="dxa" w:w="120"/>
            </w:tcMar>
          </w:tcPr>
          <w:p>
            <w:pPr>
              <w:spacing w:after="20" w:before="20"/>
            </w:pPr>
            <w:r>
              <w:rPr>
                <w:b/>
                <w:bCs/>
                <w:color w:val="FFFFFF"/>
                <w:sz w:val="22"/>
                <w:szCs w:val="22"/>
              </w:rPr>
              <w:t xml:space="preserve">PHASE 6  —  APPLICATION SUBMISSION</w:t>
            </w:r>
          </w:p>
        </w:tc>
      </w:tr>
      <w:tr>
        <w:trPr>
          <w:tblHeader/>
        </w:trPr>
        <w:tc>
          <w:tcPr>
            <w:tcW w:type="dxa" w:w="7426"/>
            <w:tcBorders>
              <w:top w:val="single" w:color="BFBFBF" w:sz="1"/>
              <w:left w:val="single" w:color="BFBFBF" w:sz="1"/>
              <w:bottom w:val="single" w:color="BFBFBF" w:sz="1"/>
              <w:right w:val="single" w:color="BFBFBF" w:sz="1"/>
            </w:tcBorders>
            <w:shd w:fill="2E7D8C" w:val="clear"/>
            <w:tcMar>
              <w:top w:type="dxa" w:w="80"/>
              <w:left w:type="dxa" w:w="120"/>
              <w:bottom w:type="dxa" w:w="80"/>
              <w:right w:type="dxa" w:w="120"/>
            </w:tcMar>
          </w:tcPr>
          <w:p>
            <w:pPr>
              <w:spacing w:after="0" w:before="0"/>
              <w:jc w:val="left"/>
            </w:pPr>
            <w:r>
              <w:rPr>
                <w:b/>
                <w:bCs/>
                <w:color w:val="FFFFFF"/>
                <w:sz w:val="20"/>
                <w:szCs w:val="20"/>
              </w:rPr>
              <w:t xml:space="preserve">Action</w:t>
            </w:r>
          </w:p>
        </w:tc>
        <w:tc>
          <w:tcPr>
            <w:tcW w:type="dxa" w:w="1600"/>
            <w:tcBorders>
              <w:top w:val="single" w:color="BFBFBF" w:sz="1"/>
              <w:left w:val="single" w:color="BFBFBF" w:sz="1"/>
              <w:bottom w:val="single" w:color="BFBFBF" w:sz="1"/>
              <w:right w:val="single" w:color="BFBFBF" w:sz="1"/>
            </w:tcBorders>
            <w:shd w:fill="2E7D8C" w:val="clear"/>
            <w:tcMar>
              <w:top w:type="dxa" w:w="80"/>
              <w:left w:type="dxa" w:w="120"/>
              <w:bottom w:type="dxa" w:w="80"/>
              <w:right w:type="dxa" w:w="120"/>
            </w:tcMar>
          </w:tcPr>
          <w:p>
            <w:pPr>
              <w:spacing w:after="0" w:before="0"/>
              <w:jc w:val="center"/>
            </w:pPr>
            <w:r>
              <w:rPr>
                <w:b/>
                <w:bCs/>
                <w:color w:val="FFFFFF"/>
                <w:sz w:val="20"/>
                <w:szCs w:val="20"/>
              </w:rPr>
              <w:t xml:space="preserve">Lead</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6.1  SC1 — provider/home application</w:t>
            </w:r>
          </w:p>
          <w:p>
            <w:pPr>
              <w:spacing w:after="0" w:before="0"/>
            </w:pPr>
            <w:r>
              <w:rPr>
                <w:sz w:val="20"/>
                <w:szCs w:val="20"/>
              </w:rPr>
              <w:t xml:space="preserve">Cura completes the SC1 from the provider's information and the provider reviews it. It covers the home, premises and any travel between buildings, the fee range, the planned opening date and the maximum number of children. The company name must be an exact Companies House match.</w:t>
            </w:r>
          </w:p>
        </w:tc>
        <w:tc>
          <w:tcPr>
            <w:tcW w:type="dxa" w:w="1600"/>
            <w:tcBorders>
              <w:top w:val="single" w:color="BFBFBF" w:sz="1"/>
              <w:left w:val="single" w:color="BFBFBF" w:sz="1"/>
              <w:bottom w:val="single" w:color="BFBFBF" w:sz="1"/>
              <w:right w:val="single" w:color="BFBFBF" w:sz="1"/>
            </w:tcBorders>
            <w:shd w:fill="EFEFEF" w:val="clear"/>
            <w:tcMar>
              <w:top w:type="dxa" w:w="80"/>
              <w:left w:type="dxa" w:w="120"/>
              <w:bottom w:type="dxa" w:w="80"/>
              <w:right w:type="dxa" w:w="120"/>
            </w:tcMar>
            <w:vAlign w:val="center"/>
          </w:tcPr>
          <w:p>
            <w:pPr>
              <w:spacing w:after="0" w:before="0"/>
              <w:jc w:val="center"/>
            </w:pPr>
            <w:r>
              <w:rPr>
                <w:b/>
                <w:bCs/>
                <w:color w:val="1B3A5C"/>
                <w:sz w:val="20"/>
                <w:szCs w:val="20"/>
              </w:rPr>
              <w:t xml:space="preserve">Both</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6.2  SC2 — individual applications</w:t>
            </w:r>
          </w:p>
          <w:p>
            <w:pPr>
              <w:spacing w:after="0" w:before="0"/>
            </w:pPr>
            <w:r>
              <w:rPr>
                <w:sz w:val="20"/>
                <w:szCs w:val="20"/>
              </w:rPr>
              <w:t xml:space="preserve">The Registered Manager, Responsible Individual and each director or partner must each complete an SC2 (a personal form with DBS, work history and references). Cura guides each person. All SC2s must be submitted within 12 weeks of the registration fee being paid, or the application may be closed.</w:t>
            </w:r>
          </w:p>
        </w:tc>
        <w:tc>
          <w:tcPr>
            <w:tcW w:type="dxa" w:w="1600"/>
            <w:tcBorders>
              <w:top w:val="single" w:color="BFBFBF" w:sz="1"/>
              <w:left w:val="single" w:color="BFBFBF" w:sz="1"/>
              <w:bottom w:val="single" w:color="BFBFBF" w:sz="1"/>
              <w:right w:val="single" w:color="BFBFBF" w:sz="1"/>
            </w:tcBorders>
            <w:shd w:fill="EFEFEF" w:val="clear"/>
            <w:tcMar>
              <w:top w:type="dxa" w:w="80"/>
              <w:left w:type="dxa" w:w="120"/>
              <w:bottom w:type="dxa" w:w="80"/>
              <w:right w:type="dxa" w:w="120"/>
            </w:tcMar>
            <w:vAlign w:val="center"/>
          </w:tcPr>
          <w:p>
            <w:pPr>
              <w:spacing w:after="0" w:before="0"/>
              <w:jc w:val="center"/>
            </w:pPr>
            <w:r>
              <w:rPr>
                <w:b/>
                <w:bCs/>
                <w:color w:val="1B3A5C"/>
                <w:sz w:val="20"/>
                <w:szCs w:val="20"/>
              </w:rPr>
              <w:t xml:space="preserve">Both</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6.3  Upload supporting documents</w:t>
            </w:r>
          </w:p>
          <w:p>
            <w:pPr>
              <w:spacing w:after="0" w:before="0"/>
            </w:pPr>
            <w:r>
              <w:rPr>
                <w:sz w:val="20"/>
                <w:szCs w:val="20"/>
              </w:rPr>
              <w:t xml:space="preserve">The provider uploads the supporting documents to the Ofsted portal, as Cura does not have access to it: Statement of Purpose, planning evidence, insurance, children’s guide, the required policies, location assessment, business plan and cashflow forecast. Cura prepares each document; every file must be under 2 MB and in an accepted format.</w:t>
            </w:r>
          </w:p>
        </w:tc>
        <w:tc>
          <w:tcPr>
            <w:tcW w:type="dxa" w:w="1600"/>
            <w:tcBorders>
              <w:top w:val="single" w:color="BFBFBF" w:sz="1"/>
              <w:left w:val="single" w:color="BFBFBF" w:sz="1"/>
              <w:bottom w:val="single" w:color="BFBFBF" w:sz="1"/>
              <w:right w:val="single" w:color="BFBFBF" w:sz="1"/>
            </w:tcBorders>
            <w:shd w:fill="E0EFF1" w:val="clear"/>
            <w:tcMar>
              <w:top w:type="dxa" w:w="80"/>
              <w:left w:type="dxa" w:w="120"/>
              <w:bottom w:type="dxa" w:w="80"/>
              <w:right w:type="dxa" w:w="120"/>
            </w:tcMar>
            <w:vAlign w:val="center"/>
          </w:tcPr>
          <w:p>
            <w:pPr>
              <w:spacing w:after="0" w:before="0"/>
              <w:jc w:val="center"/>
            </w:pPr>
            <w:r>
              <w:rPr>
                <w:b/>
                <w:bCs/>
                <w:color w:val="1B3A5C"/>
                <w:sz w:val="20"/>
                <w:szCs w:val="20"/>
              </w:rPr>
              <w:t xml:space="preserve">Provider</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6.4  Pay the registration fee</w:t>
            </w:r>
          </w:p>
          <w:p>
            <w:pPr>
              <w:spacing w:after="0" w:before="0"/>
            </w:pPr>
            <w:r>
              <w:rPr>
                <w:sz w:val="20"/>
                <w:szCs w:val="20"/>
              </w:rPr>
              <w:t xml:space="preserve">Paid online once the application is complete; non-refundable. From 1 April 2026: £2,006 for a home with 3 or fewer places; £3,284 plus £910 for the Registered Manager for 4 or more places; £4,780 plus £910 for a multi-building home. An annual fee is payable separately once registered.</w:t>
            </w:r>
          </w:p>
        </w:tc>
        <w:tc>
          <w:tcPr>
            <w:tcW w:type="dxa" w:w="1600"/>
            <w:tcBorders>
              <w:top w:val="single" w:color="BFBFBF" w:sz="1"/>
              <w:left w:val="single" w:color="BFBFBF" w:sz="1"/>
              <w:bottom w:val="single" w:color="BFBFBF" w:sz="1"/>
              <w:right w:val="single" w:color="BFBFBF" w:sz="1"/>
            </w:tcBorders>
            <w:shd w:fill="E0EFF1" w:val="clear"/>
            <w:tcMar>
              <w:top w:type="dxa" w:w="80"/>
              <w:left w:type="dxa" w:w="120"/>
              <w:bottom w:type="dxa" w:w="80"/>
              <w:right w:type="dxa" w:w="120"/>
            </w:tcMar>
            <w:vAlign w:val="center"/>
          </w:tcPr>
          <w:p>
            <w:pPr>
              <w:spacing w:after="0" w:before="0"/>
              <w:jc w:val="center"/>
            </w:pPr>
            <w:r>
              <w:rPr>
                <w:b/>
                <w:bCs/>
                <w:color w:val="1B3A5C"/>
                <w:sz w:val="20"/>
                <w:szCs w:val="20"/>
              </w:rPr>
              <w:t xml:space="preserve">Provider</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6.5  Submission reference number</w:t>
            </w:r>
          </w:p>
          <w:p>
            <w:pPr>
              <w:spacing w:after="0" w:before="0"/>
            </w:pPr>
            <w:r>
              <w:rPr>
                <w:sz w:val="20"/>
                <w:szCs w:val="20"/>
              </w:rPr>
              <w:t xml:space="preserve">A 14-character reference is issued to the provider when the application is accepted. The provider shares it with each SC2 applicant.</w:t>
            </w:r>
          </w:p>
        </w:tc>
        <w:tc>
          <w:tcPr>
            <w:tcW w:type="dxa" w:w="1600"/>
            <w:tcBorders>
              <w:top w:val="single" w:color="BFBFBF" w:sz="1"/>
              <w:left w:val="single" w:color="BFBFBF" w:sz="1"/>
              <w:bottom w:val="single" w:color="BFBFBF" w:sz="1"/>
              <w:right w:val="single" w:color="BFBFBF" w:sz="1"/>
            </w:tcBorders>
            <w:shd w:fill="E0EFF1" w:val="clear"/>
            <w:tcMar>
              <w:top w:type="dxa" w:w="80"/>
              <w:left w:type="dxa" w:w="120"/>
              <w:bottom w:type="dxa" w:w="80"/>
              <w:right w:type="dxa" w:w="120"/>
            </w:tcMar>
            <w:vAlign w:val="center"/>
          </w:tcPr>
          <w:p>
            <w:pPr>
              <w:spacing w:after="0" w:before="0"/>
              <w:jc w:val="center"/>
            </w:pPr>
            <w:r>
              <w:rPr>
                <w:b/>
                <w:bCs/>
                <w:color w:val="1B3A5C"/>
                <w:sz w:val="20"/>
                <w:szCs w:val="20"/>
              </w:rPr>
              <w:t xml:space="preserve">Provider</w:t>
            </w:r>
          </w:p>
        </w:tc>
      </w:tr>
    </w:tbl>
    <w:p>
      <w:pPr>
        <w:spacing w:after="200" w:before="0"/>
      </w:pPr>
      <w:r>
        <w:rPr>
          <w:sz w:val="8"/>
          <w:szCs w:val="8"/>
        </w:rPr>
        <w:t xml:space="preserve"/>
      </w:r>
    </w:p>
    <w:p>
      <w:pPr>
        <w:pStyle w:val="Heading1"/>
        <w:spacing w:after="60" w:before="160"/>
      </w:pPr>
      <w:r>
        <w:rPr>
          <w:b/>
          <w:bCs/>
          <w:color w:val="1B3A5C"/>
          <w:sz w:val="28"/>
          <w:szCs w:val="28"/>
        </w:rPr>
        <w:t xml:space="preserve">Stage 2 — Support through to successful registration</w:t>
      </w:r>
    </w:p>
    <w:p>
      <w:pPr>
        <w:spacing w:after="120" w:before="0"/>
      </w:pPr>
      <w:r>
        <w:rPr>
          <w:b w:val="false"/>
          <w:bCs w:val="false"/>
          <w:i/>
          <w:iCs/>
          <w:color w:val="595959"/>
          <w:sz w:val="22"/>
          <w:szCs w:val="22"/>
        </w:rPr>
        <w:t xml:space="preserve">Phase 7 covers the registration visit, the fitness interviews, and the decision. This is where Cura’s preparation and advice are most valuable.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7426"/>
        <w:gridCol w:w="1600"/>
      </w:tblGrid>
      <w:tr>
        <w:trPr>
          <w:tblHeader/>
        </w:trPr>
        <w:tc>
          <w:tcPr>
            <w:tcW w:type="dxa" w:w="9026"/>
            <w:gridSpan w:val="2"/>
            <w:tcBorders>
              <w:top w:val="single" w:color="BFBFBF" w:sz="1"/>
              <w:left w:val="single" w:color="BFBFBF" w:sz="1"/>
              <w:bottom w:val="single" w:color="BFBFBF" w:sz="1"/>
              <w:right w:val="single" w:color="BFBFBF" w:sz="1"/>
            </w:tcBorders>
            <w:shd w:fill="1B3A5C" w:val="clear"/>
            <w:tcMar>
              <w:top w:type="dxa" w:w="80"/>
              <w:left w:type="dxa" w:w="120"/>
              <w:bottom w:type="dxa" w:w="80"/>
              <w:right w:type="dxa" w:w="120"/>
            </w:tcMar>
          </w:tcPr>
          <w:p>
            <w:pPr>
              <w:spacing w:after="20" w:before="20"/>
            </w:pPr>
            <w:r>
              <w:rPr>
                <w:b/>
                <w:bCs/>
                <w:color w:val="FFFFFF"/>
                <w:sz w:val="22"/>
                <w:szCs w:val="22"/>
              </w:rPr>
              <w:t xml:space="preserve">PHASE 7  —  REGISTRATION VISIT, INTERVIEWS AND DECISION</w:t>
            </w:r>
          </w:p>
        </w:tc>
      </w:tr>
      <w:tr>
        <w:trPr>
          <w:tblHeader/>
        </w:trPr>
        <w:tc>
          <w:tcPr>
            <w:tcW w:type="dxa" w:w="7426"/>
            <w:tcBorders>
              <w:top w:val="single" w:color="BFBFBF" w:sz="1"/>
              <w:left w:val="single" w:color="BFBFBF" w:sz="1"/>
              <w:bottom w:val="single" w:color="BFBFBF" w:sz="1"/>
              <w:right w:val="single" w:color="BFBFBF" w:sz="1"/>
            </w:tcBorders>
            <w:shd w:fill="2E7D8C" w:val="clear"/>
            <w:tcMar>
              <w:top w:type="dxa" w:w="80"/>
              <w:left w:type="dxa" w:w="120"/>
              <w:bottom w:type="dxa" w:w="80"/>
              <w:right w:type="dxa" w:w="120"/>
            </w:tcMar>
          </w:tcPr>
          <w:p>
            <w:pPr>
              <w:spacing w:after="0" w:before="0"/>
              <w:jc w:val="left"/>
            </w:pPr>
            <w:r>
              <w:rPr>
                <w:b/>
                <w:bCs/>
                <w:color w:val="FFFFFF"/>
                <w:sz w:val="20"/>
                <w:szCs w:val="20"/>
              </w:rPr>
              <w:t xml:space="preserve">Action</w:t>
            </w:r>
          </w:p>
        </w:tc>
        <w:tc>
          <w:tcPr>
            <w:tcW w:type="dxa" w:w="1600"/>
            <w:tcBorders>
              <w:top w:val="single" w:color="BFBFBF" w:sz="1"/>
              <w:left w:val="single" w:color="BFBFBF" w:sz="1"/>
              <w:bottom w:val="single" w:color="BFBFBF" w:sz="1"/>
              <w:right w:val="single" w:color="BFBFBF" w:sz="1"/>
            </w:tcBorders>
            <w:shd w:fill="2E7D8C" w:val="clear"/>
            <w:tcMar>
              <w:top w:type="dxa" w:w="80"/>
              <w:left w:type="dxa" w:w="120"/>
              <w:bottom w:type="dxa" w:w="80"/>
              <w:right w:type="dxa" w:w="120"/>
            </w:tcMar>
          </w:tcPr>
          <w:p>
            <w:pPr>
              <w:spacing w:after="0" w:before="0"/>
              <w:jc w:val="center"/>
            </w:pPr>
            <w:r>
              <w:rPr>
                <w:b/>
                <w:bCs/>
                <w:color w:val="FFFFFF"/>
                <w:sz w:val="20"/>
                <w:szCs w:val="20"/>
              </w:rPr>
              <w:t xml:space="preserve">Lead</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7.1  Mock interviews</w:t>
            </w:r>
          </w:p>
          <w:p>
            <w:pPr>
              <w:spacing w:after="0" w:before="0"/>
            </w:pPr>
            <w:r>
              <w:rPr>
                <w:sz w:val="20"/>
                <w:szCs w:val="20"/>
              </w:rPr>
              <w:t xml:space="preserve">Mock fitness interviews for the Registered Manager and Responsible Individual, with detailed, critical feedback on the Children's Homes Regulations, safeguarding, leadership, financial viability and the quality of care.</w:t>
            </w:r>
          </w:p>
        </w:tc>
        <w:tc>
          <w:tcPr>
            <w:tcW w:type="dxa" w:w="1600"/>
            <w:tcBorders>
              <w:top w:val="single" w:color="BFBFBF" w:sz="1"/>
              <w:left w:val="single" w:color="BFBFBF" w:sz="1"/>
              <w:bottom w:val="single" w:color="BFBFBF" w:sz="1"/>
              <w:right w:val="single" w:color="BFBFBF" w:sz="1"/>
            </w:tcBorders>
            <w:shd w:fill="E3EAF0" w:val="clear"/>
            <w:tcMar>
              <w:top w:type="dxa" w:w="80"/>
              <w:left w:type="dxa" w:w="120"/>
              <w:bottom w:type="dxa" w:w="80"/>
              <w:right w:type="dxa" w:w="120"/>
            </w:tcMar>
            <w:vAlign w:val="center"/>
          </w:tcPr>
          <w:p>
            <w:pPr>
              <w:spacing w:after="0" w:before="0"/>
              <w:jc w:val="center"/>
            </w:pPr>
            <w:r>
              <w:rPr>
                <w:b/>
                <w:bCs/>
                <w:color w:val="1B3A5C"/>
                <w:sz w:val="20"/>
                <w:szCs w:val="20"/>
              </w:rPr>
              <w:t xml:space="preserve">Cura</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7.2  Pre-visit readiness review (mock inspection)</w:t>
            </w:r>
          </w:p>
          <w:p>
            <w:pPr>
              <w:spacing w:after="0" w:before="0"/>
            </w:pPr>
            <w:r>
              <w:rPr>
                <w:sz w:val="20"/>
                <w:szCs w:val="20"/>
              </w:rPr>
              <w:t xml:space="preserve">The provider ensures the home, documents, staffing list and rota, personnel files and recording systems are ready for the visit. Cura reviews them against Ofsted’s readiness expectations and helps close any gaps.</w:t>
            </w:r>
          </w:p>
        </w:tc>
        <w:tc>
          <w:tcPr>
            <w:tcW w:type="dxa" w:w="1600"/>
            <w:tcBorders>
              <w:top w:val="single" w:color="BFBFBF" w:sz="1"/>
              <w:left w:val="single" w:color="BFBFBF" w:sz="1"/>
              <w:bottom w:val="single" w:color="BFBFBF" w:sz="1"/>
              <w:right w:val="single" w:color="BFBFBF" w:sz="1"/>
            </w:tcBorders>
            <w:shd w:fill="EFEFEF" w:val="clear"/>
            <w:tcMar>
              <w:top w:type="dxa" w:w="80"/>
              <w:left w:type="dxa" w:w="120"/>
              <w:bottom w:type="dxa" w:w="80"/>
              <w:right w:type="dxa" w:w="120"/>
            </w:tcMar>
            <w:vAlign w:val="center"/>
          </w:tcPr>
          <w:p>
            <w:pPr>
              <w:spacing w:after="0" w:before="0"/>
              <w:jc w:val="center"/>
            </w:pPr>
            <w:r>
              <w:rPr>
                <w:b/>
                <w:bCs/>
                <w:color w:val="1B3A5C"/>
                <w:sz w:val="20"/>
                <w:szCs w:val="20"/>
              </w:rPr>
              <w:t xml:space="preserve">Both</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7.3  Provide planning evidence</w:t>
            </w:r>
          </w:p>
          <w:p>
            <w:pPr>
              <w:spacing w:after="0" w:before="0"/>
            </w:pPr>
            <w:r>
              <w:rPr>
                <w:sz w:val="20"/>
                <w:szCs w:val="20"/>
              </w:rPr>
              <w:t xml:space="preserve">Supply the planning permission or use-class confirmation. The registration visit cannot take place until Ofsted has received this.</w:t>
            </w:r>
          </w:p>
        </w:tc>
        <w:tc>
          <w:tcPr>
            <w:tcW w:type="dxa" w:w="1600"/>
            <w:tcBorders>
              <w:top w:val="single" w:color="BFBFBF" w:sz="1"/>
              <w:left w:val="single" w:color="BFBFBF" w:sz="1"/>
              <w:bottom w:val="single" w:color="BFBFBF" w:sz="1"/>
              <w:right w:val="single" w:color="BFBFBF" w:sz="1"/>
            </w:tcBorders>
            <w:shd w:fill="E0EFF1" w:val="clear"/>
            <w:tcMar>
              <w:top w:type="dxa" w:w="80"/>
              <w:left w:type="dxa" w:w="120"/>
              <w:bottom w:type="dxa" w:w="80"/>
              <w:right w:type="dxa" w:w="120"/>
            </w:tcMar>
            <w:vAlign w:val="center"/>
          </w:tcPr>
          <w:p>
            <w:pPr>
              <w:spacing w:after="0" w:before="0"/>
              <w:jc w:val="center"/>
            </w:pPr>
            <w:r>
              <w:rPr>
                <w:b/>
                <w:bCs/>
                <w:color w:val="1B3A5C"/>
                <w:sz w:val="20"/>
                <w:szCs w:val="20"/>
              </w:rPr>
              <w:t xml:space="preserve">Provider</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7.4  Registration visit</w:t>
            </w:r>
          </w:p>
          <w:p>
            <w:pPr>
              <w:spacing w:after="0" w:before="0"/>
            </w:pPr>
            <w:r>
              <w:rPr>
                <w:sz w:val="20"/>
                <w:szCs w:val="20"/>
              </w:rPr>
              <w:t xml:space="preserve">Ofsted visits the home (and all buildings on the application), assesses the premises and readiness to operate, and reviews documents. During the visit the inspector asks for originals: birth certificate and any name-change documents, photo ID, qualifications, DBS for the manager and RI, the staffing list and rota, personnel files, health and safety and fire documents, the training plan and examples of recording systems. The provider hosts the visit and presents the service.</w:t>
            </w:r>
          </w:p>
        </w:tc>
        <w:tc>
          <w:tcPr>
            <w:tcW w:type="dxa" w:w="1600"/>
            <w:tcBorders>
              <w:top w:val="single" w:color="BFBFBF" w:sz="1"/>
              <w:left w:val="single" w:color="BFBFBF" w:sz="1"/>
              <w:bottom w:val="single" w:color="BFBFBF" w:sz="1"/>
              <w:right w:val="single" w:color="BFBFBF" w:sz="1"/>
            </w:tcBorders>
            <w:shd w:fill="E0EFF1" w:val="clear"/>
            <w:tcMar>
              <w:top w:type="dxa" w:w="80"/>
              <w:left w:type="dxa" w:w="120"/>
              <w:bottom w:type="dxa" w:w="80"/>
              <w:right w:type="dxa" w:w="120"/>
            </w:tcMar>
            <w:vAlign w:val="center"/>
          </w:tcPr>
          <w:p>
            <w:pPr>
              <w:spacing w:after="0" w:before="0"/>
              <w:jc w:val="center"/>
            </w:pPr>
            <w:r>
              <w:rPr>
                <w:b/>
                <w:bCs/>
                <w:color w:val="1B3A5C"/>
                <w:sz w:val="20"/>
                <w:szCs w:val="20"/>
              </w:rPr>
              <w:t xml:space="preserve">Provider</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7.5  Fitness interviews</w:t>
            </w:r>
          </w:p>
          <w:p>
            <w:pPr>
              <w:spacing w:after="0" w:before="0"/>
            </w:pPr>
            <w:r>
              <w:rPr>
                <w:sz w:val="20"/>
                <w:szCs w:val="20"/>
              </w:rPr>
              <w:t xml:space="preserve">Ofsted interviews the Registered Manager and Responsible Individual, and may interview directors. They attend and demonstrate their suitability for their roles.</w:t>
            </w:r>
          </w:p>
        </w:tc>
        <w:tc>
          <w:tcPr>
            <w:tcW w:type="dxa" w:w="1600"/>
            <w:tcBorders>
              <w:top w:val="single" w:color="BFBFBF" w:sz="1"/>
              <w:left w:val="single" w:color="BFBFBF" w:sz="1"/>
              <w:bottom w:val="single" w:color="BFBFBF" w:sz="1"/>
              <w:right w:val="single" w:color="BFBFBF" w:sz="1"/>
            </w:tcBorders>
            <w:shd w:fill="E0EFF1" w:val="clear"/>
            <w:tcMar>
              <w:top w:type="dxa" w:w="80"/>
              <w:left w:type="dxa" w:w="120"/>
              <w:bottom w:type="dxa" w:w="80"/>
              <w:right w:type="dxa" w:w="120"/>
            </w:tcMar>
            <w:vAlign w:val="center"/>
          </w:tcPr>
          <w:p>
            <w:pPr>
              <w:spacing w:after="0" w:before="0"/>
              <w:jc w:val="center"/>
            </w:pPr>
            <w:r>
              <w:rPr>
                <w:b/>
                <w:bCs/>
                <w:color w:val="1B3A5C"/>
                <w:sz w:val="20"/>
                <w:szCs w:val="20"/>
              </w:rPr>
              <w:t xml:space="preserve">Provider</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7.6  Conditions and further information</w:t>
            </w:r>
          </w:p>
          <w:p>
            <w:pPr>
              <w:spacing w:after="0" w:before="0"/>
            </w:pPr>
            <w:r>
              <w:rPr>
                <w:sz w:val="20"/>
                <w:szCs w:val="20"/>
              </w:rPr>
              <w:t xml:space="preserve">The provider responds to the inspector’s findings and the proposed conditions of registration and provides any further information or interviews requested. Cura advises on the response.</w:t>
            </w:r>
          </w:p>
        </w:tc>
        <w:tc>
          <w:tcPr>
            <w:tcW w:type="dxa" w:w="1600"/>
            <w:tcBorders>
              <w:top w:val="single" w:color="BFBFBF" w:sz="1"/>
              <w:left w:val="single" w:color="BFBFBF" w:sz="1"/>
              <w:bottom w:val="single" w:color="BFBFBF" w:sz="1"/>
              <w:right w:val="single" w:color="BFBFBF" w:sz="1"/>
            </w:tcBorders>
            <w:shd w:fill="EFEFEF" w:val="clear"/>
            <w:tcMar>
              <w:top w:type="dxa" w:w="80"/>
              <w:left w:type="dxa" w:w="120"/>
              <w:bottom w:type="dxa" w:w="80"/>
              <w:right w:type="dxa" w:w="120"/>
            </w:tcMar>
            <w:vAlign w:val="center"/>
          </w:tcPr>
          <w:p>
            <w:pPr>
              <w:spacing w:after="0" w:before="0"/>
              <w:jc w:val="center"/>
            </w:pPr>
            <w:r>
              <w:rPr>
                <w:b/>
                <w:bCs/>
                <w:color w:val="1B3A5C"/>
                <w:sz w:val="20"/>
                <w:szCs w:val="20"/>
              </w:rPr>
              <w:t xml:space="preserve">Both</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7.7  Registration decision</w:t>
            </w:r>
          </w:p>
          <w:p>
            <w:pPr>
              <w:spacing w:after="0" w:before="0"/>
            </w:pPr>
            <w:r>
              <w:rPr>
                <w:sz w:val="20"/>
                <w:szCs w:val="20"/>
              </w:rPr>
              <w:t xml:space="preserve">Ofsted issues its decision. Standard (non-priority) applications are currently taking several months because of high application volumes.</w:t>
            </w:r>
          </w:p>
        </w:tc>
        <w:tc>
          <w:tcPr>
            <w:tcW w:type="dxa" w:w="1600"/>
            <w:tcBorders>
              <w:top w:val="single" w:color="BFBFBF" w:sz="1"/>
              <w:left w:val="single" w:color="BFBFBF" w:sz="1"/>
              <w:bottom w:val="single" w:color="BFBFBF" w:sz="1"/>
              <w:right w:val="single" w:color="BFBFBF" w:sz="1"/>
            </w:tcBorders>
            <w:shd w:fill="EDE7F2" w:val="clear"/>
            <w:tcMar>
              <w:top w:type="dxa" w:w="80"/>
              <w:left w:type="dxa" w:w="120"/>
              <w:bottom w:type="dxa" w:w="80"/>
              <w:right w:type="dxa" w:w="120"/>
            </w:tcMar>
            <w:vAlign w:val="center"/>
          </w:tcPr>
          <w:p>
            <w:pPr>
              <w:spacing w:after="0" w:before="0"/>
              <w:jc w:val="center"/>
            </w:pPr>
            <w:r>
              <w:rPr>
                <w:b/>
                <w:bCs/>
                <w:color w:val="1B3A5C"/>
                <w:sz w:val="20"/>
                <w:szCs w:val="20"/>
              </w:rPr>
              <w:t xml:space="preserve">Ofsted</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7.8  Post-registration readiness</w:t>
            </w:r>
          </w:p>
          <w:p>
            <w:pPr>
              <w:spacing w:after="0" w:before="0"/>
            </w:pPr>
            <w:r>
              <w:rPr>
                <w:sz w:val="20"/>
                <w:szCs w:val="20"/>
              </w:rPr>
              <w:t xml:space="preserve">The provider puts notification duties, Regulation 44 (independent visits) and Regulation 45 (manager’s review) arrangements into operation, and prepares for the first full inspection after the first child is placed.</w:t>
            </w:r>
          </w:p>
        </w:tc>
        <w:tc>
          <w:tcPr>
            <w:tcW w:type="dxa" w:w="1600"/>
            <w:tcBorders>
              <w:top w:val="single" w:color="BFBFBF" w:sz="1"/>
              <w:left w:val="single" w:color="BFBFBF" w:sz="1"/>
              <w:bottom w:val="single" w:color="BFBFBF" w:sz="1"/>
              <w:right w:val="single" w:color="BFBFBF" w:sz="1"/>
            </w:tcBorders>
            <w:shd w:fill="E0EFF1" w:val="clear"/>
            <w:tcMar>
              <w:top w:type="dxa" w:w="80"/>
              <w:left w:type="dxa" w:w="120"/>
              <w:bottom w:type="dxa" w:w="80"/>
              <w:right w:type="dxa" w:w="120"/>
            </w:tcMar>
            <w:vAlign w:val="center"/>
          </w:tcPr>
          <w:p>
            <w:pPr>
              <w:spacing w:after="0" w:before="0"/>
              <w:jc w:val="center"/>
            </w:pPr>
            <w:r>
              <w:rPr>
                <w:b/>
                <w:bCs/>
                <w:color w:val="1B3A5C"/>
                <w:sz w:val="20"/>
                <w:szCs w:val="20"/>
              </w:rPr>
              <w:t xml:space="preserve">Provider</w:t>
            </w:r>
          </w:p>
        </w:tc>
      </w:tr>
    </w:tbl>
    <w:p>
      <w:pPr>
        <w:spacing w:after="200" w:before="0"/>
      </w:pPr>
      <w:r>
        <w:rPr>
          <w:sz w:val="8"/>
          <w:szCs w:val="8"/>
        </w:rPr>
        <w:t xml:space="preserve"/>
      </w:r>
    </w:p>
    <w:p>
      <w:pPr>
        <w:pStyle w:val="Heading1"/>
        <w:spacing w:after="120" w:before="160"/>
      </w:pPr>
      <w:r>
        <w:rPr>
          <w:b/>
          <w:bCs/>
          <w:color w:val="1B3A5C"/>
          <w:sz w:val="28"/>
          <w:szCs w:val="28"/>
        </w:rPr>
        <w:t xml:space="preserve">Critical path and indicative timing</w:t>
      </w:r>
    </w:p>
    <w:p>
      <w:pPr>
        <w:pStyle w:val="ListParagraph"/>
        <w:numPr>
          <w:ilvl w:val="0"/>
          <w:numId w:val="2"/>
        </w:numPr>
        <w:spacing w:after="60" w:before="0"/>
      </w:pPr>
      <w:r>
        <w:rPr>
          <w:sz w:val="22"/>
          <w:szCs w:val="22"/>
        </w:rPr>
        <w:t xml:space="preserve">Start planning / use class first. It is the longest lead-in item and the registration visit cannot proceed without it. Begin Phase 1.4 before anything else.</w:t>
      </w:r>
    </w:p>
    <w:p>
      <w:pPr>
        <w:pStyle w:val="ListParagraph"/>
        <w:numPr>
          <w:ilvl w:val="0"/>
          <w:numId w:val="2"/>
        </w:numPr>
        <w:spacing w:after="60" w:before="0"/>
      </w:pPr>
      <w:r>
        <w:rPr>
          <w:sz w:val="22"/>
          <w:szCs w:val="22"/>
        </w:rPr>
        <w:t xml:space="preserve">Recruit the Registered Manager early. Applications are commonly delayed or refused where no suitably qualified manager is in place.</w:t>
      </w:r>
    </w:p>
    <w:p>
      <w:pPr>
        <w:pStyle w:val="ListParagraph"/>
        <w:numPr>
          <w:ilvl w:val="0"/>
          <w:numId w:val="2"/>
        </w:numPr>
        <w:spacing w:after="60" w:before="0"/>
      </w:pPr>
      <w:r>
        <w:rPr>
          <w:sz w:val="22"/>
          <w:szCs w:val="22"/>
        </w:rPr>
        <w:t xml:space="preserve">Multi-agency engagement takes time. Police, children’s services, health and education contacts should begin as soon as the property and area are confirmed.</w:t>
      </w:r>
    </w:p>
    <w:p>
      <w:pPr>
        <w:pStyle w:val="ListParagraph"/>
        <w:numPr>
          <w:ilvl w:val="0"/>
          <w:numId w:val="2"/>
        </w:numPr>
        <w:spacing w:after="60" w:before="0"/>
      </w:pPr>
      <w:r>
        <w:rPr>
          <w:sz w:val="22"/>
          <w:szCs w:val="22"/>
        </w:rPr>
        <w:t xml:space="preserve">Allow several months for the decision. Standard (non-priority) applications are currently slow because of high volumes. Priority is given to emergency placements, provision with Department for Education capital funding, and homes exclusively for unaccompanied asylum-seeking children under the national transfer scheme.</w:t>
      </w:r>
    </w:p>
    <w:p>
      <w:pPr>
        <w:pStyle w:val="Heading1"/>
        <w:spacing w:after="120" w:before="200"/>
      </w:pPr>
      <w:r>
        <w:rPr>
          <w:b/>
          <w:bCs/>
          <w:color w:val="1B3A5C"/>
          <w:sz w:val="28"/>
          <w:szCs w:val="28"/>
        </w:rPr>
        <w:t xml:space="preserve">Required documents checklist</w:t>
      </w:r>
    </w:p>
    <w:tbl>
      <w:tblPr>
        <w:tblW w:type="dxa" w:w="9026"/>
        <w:tblBorders>
          <w:top w:val="single" w:color="BFBFBF" w:sz="1"/>
          <w:left w:val="single" w:color="1B3A5C" w:sz="18"/>
          <w:bottom w:val="single" w:color="BFBFBF" w:sz="1"/>
          <w:right w:val="single" w:color="BFBFBF" w:sz="1"/>
          <w:insideH w:val="single" w:color="auto" w:sz="4"/>
          <w:insideV w:val="single" w:color="auto" w:sz="4"/>
        </w:tblBorders>
      </w:tblPr>
      <w:tblGrid>
        <w:gridCol w:w="9026"/>
      </w:tblGrid>
      <w:tr>
        <w:tc>
          <w:tcPr>
            <w:tcW w:type="dxa" w:w="9026"/>
            <w:shd w:fill="F6F9FA" w:val="clear"/>
            <w:tcMar>
              <w:top w:type="dxa" w:w="140"/>
              <w:left w:type="dxa" w:w="200"/>
              <w:bottom w:type="dxa" w:w="140"/>
              <w:right w:type="dxa" w:w="200"/>
            </w:tcMar>
          </w:tcPr>
          <w:p>
            <w:pPr>
              <w:spacing w:after="80" w:before="20"/>
            </w:pPr>
            <w:r>
              <w:rPr>
                <w:b/>
                <w:bCs/>
                <w:color w:val="1B3A5C"/>
                <w:sz w:val="22"/>
                <w:szCs w:val="22"/>
              </w:rPr>
              <w:t xml:space="preserve">Submitted with the SC1 application (Ofsted cannot accept the application without these):</w:t>
            </w:r>
          </w:p>
          <w:p>
            <w:pPr>
              <w:pStyle w:val="ListParagraph"/>
              <w:numPr>
                <w:ilvl w:val="0"/>
                <w:numId w:val="3"/>
              </w:numPr>
              <w:spacing w:after="40" w:before="0"/>
            </w:pPr>
            <w:r>
              <w:rPr>
                <w:sz w:val="21"/>
                <w:szCs w:val="21"/>
              </w:rPr>
              <w:t xml:space="preserve">Statement of Purpose (one per home)</w:t>
            </w:r>
          </w:p>
          <w:p>
            <w:pPr>
              <w:pStyle w:val="ListParagraph"/>
              <w:numPr>
                <w:ilvl w:val="0"/>
                <w:numId w:val="3"/>
              </w:numPr>
              <w:spacing w:after="40" w:before="0"/>
            </w:pPr>
            <w:r>
              <w:rPr>
                <w:sz w:val="21"/>
                <w:szCs w:val="21"/>
              </w:rPr>
              <w:t xml:space="preserve">Evidence of planning permission or use-class confirmation</w:t>
            </w:r>
          </w:p>
          <w:p>
            <w:pPr>
              <w:pStyle w:val="ListParagraph"/>
              <w:numPr>
                <w:ilvl w:val="0"/>
                <w:numId w:val="3"/>
              </w:numPr>
              <w:spacing w:after="40" w:before="0"/>
            </w:pPr>
            <w:r>
              <w:rPr>
                <w:sz w:val="21"/>
                <w:szCs w:val="21"/>
              </w:rPr>
              <w:t xml:space="preserve">Certificate of insurance (or written confirmation it will be in place)</w:t>
            </w:r>
          </w:p>
          <w:p>
            <w:pPr>
              <w:pStyle w:val="ListParagraph"/>
              <w:numPr>
                <w:ilvl w:val="0"/>
                <w:numId w:val="3"/>
              </w:numPr>
              <w:spacing w:after="40" w:before="0"/>
            </w:pPr>
            <w:r>
              <w:rPr>
                <w:sz w:val="21"/>
                <w:szCs w:val="21"/>
              </w:rPr>
              <w:t xml:space="preserve">Children’s Guide</w:t>
            </w:r>
          </w:p>
          <w:p>
            <w:pPr>
              <w:pStyle w:val="ListParagraph"/>
              <w:numPr>
                <w:ilvl w:val="0"/>
                <w:numId w:val="3"/>
              </w:numPr>
              <w:spacing w:after="40" w:before="0"/>
            </w:pPr>
            <w:r>
              <w:rPr>
                <w:sz w:val="21"/>
                <w:szCs w:val="21"/>
              </w:rPr>
              <w:t xml:space="preserve">Missing child policy</w:t>
            </w:r>
          </w:p>
          <w:p>
            <w:pPr>
              <w:pStyle w:val="ListParagraph"/>
              <w:numPr>
                <w:ilvl w:val="0"/>
                <w:numId w:val="3"/>
              </w:numPr>
              <w:spacing w:after="40" w:before="0"/>
            </w:pPr>
            <w:r>
              <w:rPr>
                <w:sz w:val="21"/>
                <w:szCs w:val="21"/>
              </w:rPr>
              <w:t xml:space="preserve">Positive behaviour support policy</w:t>
            </w:r>
          </w:p>
          <w:p>
            <w:pPr>
              <w:pStyle w:val="ListParagraph"/>
              <w:numPr>
                <w:ilvl w:val="0"/>
                <w:numId w:val="3"/>
              </w:numPr>
              <w:spacing w:after="40" w:before="0"/>
            </w:pPr>
            <w:r>
              <w:rPr>
                <w:sz w:val="21"/>
                <w:szCs w:val="21"/>
              </w:rPr>
              <w:t xml:space="preserve">Safeguarding policy</w:t>
            </w:r>
          </w:p>
          <w:p>
            <w:pPr>
              <w:pStyle w:val="ListParagraph"/>
              <w:numPr>
                <w:ilvl w:val="0"/>
                <w:numId w:val="3"/>
              </w:numPr>
              <w:spacing w:after="40" w:before="0"/>
            </w:pPr>
            <w:r>
              <w:rPr>
                <w:sz w:val="21"/>
                <w:szCs w:val="21"/>
              </w:rPr>
              <w:t xml:space="preserve">Prevention of bullying policy</w:t>
            </w:r>
          </w:p>
          <w:p>
            <w:pPr>
              <w:pStyle w:val="ListParagraph"/>
              <w:numPr>
                <w:ilvl w:val="0"/>
                <w:numId w:val="3"/>
              </w:numPr>
              <w:spacing w:after="40" w:before="0"/>
            </w:pPr>
            <w:r>
              <w:rPr>
                <w:sz w:val="21"/>
                <w:szCs w:val="21"/>
              </w:rPr>
              <w:t xml:space="preserve">Complaints procedure</w:t>
            </w:r>
          </w:p>
          <w:p>
            <w:pPr>
              <w:pStyle w:val="ListParagraph"/>
              <w:numPr>
                <w:ilvl w:val="0"/>
                <w:numId w:val="3"/>
              </w:numPr>
              <w:spacing w:after="40" w:before="0"/>
            </w:pPr>
            <w:r>
              <w:rPr>
                <w:sz w:val="21"/>
                <w:szCs w:val="21"/>
              </w:rPr>
              <w:t xml:space="preserve">Location assessment</w:t>
            </w:r>
          </w:p>
          <w:p>
            <w:pPr>
              <w:pStyle w:val="ListParagraph"/>
              <w:numPr>
                <w:ilvl w:val="0"/>
                <w:numId w:val="3"/>
              </w:numPr>
              <w:spacing w:after="40" w:before="0"/>
            </w:pPr>
            <w:r>
              <w:rPr>
                <w:sz w:val="21"/>
                <w:szCs w:val="21"/>
              </w:rPr>
              <w:t xml:space="preserve">Business plan and cashflow forecast</w:t>
            </w:r>
          </w:p>
          <w:p>
            <w:pPr>
              <w:pStyle w:val="ListParagraph"/>
              <w:numPr>
                <w:ilvl w:val="0"/>
                <w:numId w:val="3"/>
              </w:numPr>
              <w:spacing w:after="20" w:before="0"/>
            </w:pPr>
            <w:r>
              <w:rPr>
                <w:sz w:val="21"/>
                <w:szCs w:val="21"/>
              </w:rPr>
              <w:t xml:space="preserve">Last two years’ accounts (existing companies only); charitable objects or partnership agreement where applicable</w:t>
            </w:r>
          </w:p>
        </w:tc>
      </w:tr>
    </w:tbl>
    <w:p>
      <w:pPr>
        <w:spacing w:after="140" w:before="0"/>
      </w:pPr>
      <w:r>
        <w:rPr>
          <w:sz w:val="8"/>
          <w:szCs w:val="8"/>
        </w:rPr>
        <w:t xml:space="preserve"/>
      </w:r>
    </w:p>
    <w:tbl>
      <w:tblPr>
        <w:tblW w:type="dxa" w:w="9026"/>
        <w:tblBorders>
          <w:top w:val="single" w:color="BFBFBF" w:sz="1"/>
          <w:left w:val="single" w:color="1B3A5C" w:sz="18"/>
          <w:bottom w:val="single" w:color="BFBFBF" w:sz="1"/>
          <w:right w:val="single" w:color="BFBFBF" w:sz="1"/>
          <w:insideH w:val="single" w:color="auto" w:sz="4"/>
          <w:insideV w:val="single" w:color="auto" w:sz="4"/>
        </w:tblBorders>
      </w:tblPr>
      <w:tblGrid>
        <w:gridCol w:w="9026"/>
      </w:tblGrid>
      <w:tr>
        <w:tc>
          <w:tcPr>
            <w:tcW w:type="dxa" w:w="9026"/>
            <w:shd w:fill="F6F9FA" w:val="clear"/>
            <w:tcMar>
              <w:top w:type="dxa" w:w="140"/>
              <w:left w:type="dxa" w:w="200"/>
              <w:bottom w:type="dxa" w:w="140"/>
              <w:right w:type="dxa" w:w="200"/>
            </w:tcMar>
          </w:tcPr>
          <w:p>
            <w:pPr>
              <w:spacing w:after="80" w:before="20"/>
            </w:pPr>
            <w:r>
              <w:rPr>
                <w:b/>
                <w:bCs/>
                <w:color w:val="1B3A5C"/>
                <w:sz w:val="22"/>
                <w:szCs w:val="22"/>
              </w:rPr>
              <w:t xml:space="preserve">Required at or before the registration visit (in addition to the above):</w:t>
            </w:r>
          </w:p>
          <w:p>
            <w:pPr>
              <w:pStyle w:val="ListParagraph"/>
              <w:numPr>
                <w:ilvl w:val="0"/>
                <w:numId w:val="3"/>
              </w:numPr>
              <w:spacing w:after="40" w:before="0"/>
            </w:pPr>
            <w:r>
              <w:rPr>
                <w:sz w:val="21"/>
                <w:szCs w:val="21"/>
              </w:rPr>
              <w:t xml:space="preserve">Staffing list and rota showing the home can open and accept its first child</w:t>
            </w:r>
          </w:p>
          <w:p>
            <w:pPr>
              <w:pStyle w:val="ListParagraph"/>
              <w:numPr>
                <w:ilvl w:val="0"/>
                <w:numId w:val="3"/>
              </w:numPr>
              <w:spacing w:after="40" w:before="0"/>
            </w:pPr>
            <w:r>
              <w:rPr>
                <w:sz w:val="21"/>
                <w:szCs w:val="21"/>
              </w:rPr>
              <w:t xml:space="preserve">Personnel files and recruitment records (including the manager and RI)</w:t>
            </w:r>
          </w:p>
          <w:p>
            <w:pPr>
              <w:pStyle w:val="ListParagraph"/>
              <w:numPr>
                <w:ilvl w:val="0"/>
                <w:numId w:val="3"/>
              </w:numPr>
              <w:spacing w:after="40" w:before="0"/>
            </w:pPr>
            <w:r>
              <w:rPr>
                <w:sz w:val="21"/>
                <w:szCs w:val="21"/>
              </w:rPr>
              <w:t xml:space="preserve">Training and development plan — induction and supervision arrangements</w:t>
            </w:r>
          </w:p>
          <w:p>
            <w:pPr>
              <w:pStyle w:val="ListParagraph"/>
              <w:numPr>
                <w:ilvl w:val="0"/>
                <w:numId w:val="3"/>
              </w:numPr>
              <w:spacing w:after="40" w:before="0"/>
            </w:pPr>
            <w:r>
              <w:rPr>
                <w:sz w:val="21"/>
                <w:szCs w:val="21"/>
              </w:rPr>
              <w:t xml:space="preserve">Health and safety risk assessment and management plan</w:t>
            </w:r>
          </w:p>
          <w:p>
            <w:pPr>
              <w:pStyle w:val="ListParagraph"/>
              <w:numPr>
                <w:ilvl w:val="0"/>
                <w:numId w:val="3"/>
              </w:numPr>
              <w:spacing w:after="40" w:before="0"/>
            </w:pPr>
            <w:r>
              <w:rPr>
                <w:sz w:val="21"/>
                <w:szCs w:val="21"/>
              </w:rPr>
              <w:t xml:space="preserve">Fire risk assessment and fire safety arrangements</w:t>
            </w:r>
          </w:p>
          <w:p>
            <w:pPr>
              <w:pStyle w:val="ListParagraph"/>
              <w:numPr>
                <w:ilvl w:val="0"/>
                <w:numId w:val="3"/>
              </w:numPr>
              <w:spacing w:after="40" w:before="0"/>
            </w:pPr>
            <w:r>
              <w:rPr>
                <w:sz w:val="21"/>
                <w:szCs w:val="21"/>
              </w:rPr>
              <w:t xml:space="preserve">Premises safety certificates — gas, electrical (EICR) and equipment</w:t>
            </w:r>
          </w:p>
          <w:p>
            <w:pPr>
              <w:pStyle w:val="ListParagraph"/>
              <w:numPr>
                <w:ilvl w:val="0"/>
                <w:numId w:val="3"/>
              </w:numPr>
              <w:spacing w:after="40" w:before="0"/>
            </w:pPr>
            <w:r>
              <w:rPr>
                <w:sz w:val="21"/>
                <w:szCs w:val="21"/>
              </w:rPr>
              <w:t xml:space="preserve">Examples of paper or electronic recording systems</w:t>
            </w:r>
          </w:p>
          <w:p>
            <w:pPr>
              <w:pStyle w:val="ListParagraph"/>
              <w:numPr>
                <w:ilvl w:val="0"/>
                <w:numId w:val="3"/>
              </w:numPr>
              <w:spacing w:after="40" w:before="0"/>
            </w:pPr>
            <w:r>
              <w:rPr>
                <w:sz w:val="21"/>
                <w:szCs w:val="21"/>
              </w:rPr>
              <w:t xml:space="preserve">Surveillance / CCTV policy where relevant</w:t>
            </w:r>
          </w:p>
          <w:p>
            <w:pPr>
              <w:pStyle w:val="ListParagraph"/>
              <w:numPr>
                <w:ilvl w:val="0"/>
                <w:numId w:val="3"/>
              </w:numPr>
              <w:spacing w:after="20" w:before="0"/>
            </w:pPr>
            <w:r>
              <w:rPr>
                <w:sz w:val="21"/>
                <w:szCs w:val="21"/>
              </w:rPr>
              <w:t xml:space="preserve">Originals at interview — birth certificate, name-change documents, photo ID, qualifications, and DBS for the manager and RI</w:t>
            </w:r>
          </w:p>
        </w:tc>
      </w:tr>
    </w:tbl>
    <w:p>
      <w:pPr>
        <w:spacing w:after="160" w:before="0"/>
      </w:pPr>
      <w:r>
        <w:rPr>
          <w:sz w:val="8"/>
          <w:szCs w:val="8"/>
        </w:rPr>
        <w:t xml:space="preserve"/>
      </w:r>
    </w:p>
    <w:p>
      <w:pPr>
        <w:pStyle w:val="Heading1"/>
        <w:spacing w:after="120" w:before="160"/>
      </w:pPr>
      <w:r>
        <w:rPr>
          <w:b/>
          <w:bCs/>
          <w:color w:val="1B3A5C"/>
          <w:sz w:val="28"/>
          <w:szCs w:val="28"/>
        </w:rPr>
        <w:t xml:space="preserve">Payment structure</w:t>
      </w:r>
    </w:p>
    <w:p>
      <w:pPr>
        <w:spacing w:after="120" w:before="0"/>
      </w:pPr>
      <w:r>
        <w:rPr>
          <w:b w:val="false"/>
          <w:bCs w:val="false"/>
          <w:i w:val="false"/>
          <w:iCs w:val="false"/>
          <w:color w:val="000000"/>
          <w:sz w:val="22"/>
          <w:szCs w:val="22"/>
        </w:rPr>
        <w:t xml:space="preserve">Cura works in two stages, mirroring its established approach:</w:t>
      </w:r>
    </w:p>
    <w:p>
      <w:pPr>
        <w:pStyle w:val="ListParagraph"/>
        <w:numPr>
          <w:ilvl w:val="0"/>
          <w:numId w:val="4"/>
        </w:numPr>
        <w:spacing w:after="60" w:before="0"/>
      </w:pPr>
      <w:r>
        <w:rPr>
          <w:sz w:val="22"/>
          <w:szCs w:val="22"/>
        </w:rPr>
        <w:t xml:space="preserve">Stage 1 — Documentation and submission: the business plan and cashflow forecast, Statement of Purpose, Children’s Guide, the required application policies, the location assessment, and completion and submission of the SC1 and SC2 forms.</w:t>
      </w:r>
    </w:p>
    <w:p>
      <w:pPr>
        <w:pStyle w:val="ListParagraph"/>
        <w:numPr>
          <w:ilvl w:val="0"/>
          <w:numId w:val="4"/>
        </w:numPr>
        <w:spacing w:after="60" w:before="0"/>
      </w:pPr>
      <w:r>
        <w:rPr>
          <w:sz w:val="22"/>
          <w:szCs w:val="22"/>
        </w:rPr>
        <w:t xml:space="preserve">Stage 2 — Support through to successful registration: application adjustments, ongoing follow-up with Ofsted, mock interviews, the pre-visit readiness review, and preparation for the registration visit and interviews until registration is granted.</w:t>
      </w:r>
    </w:p>
    <w:p>
      <w:pPr>
        <w:spacing w:after="120" w:before="0"/>
      </w:pPr>
      <w:r>
        <w:rPr>
          <w:b w:val="false"/>
          <w:bCs w:val="false"/>
          <w:i w:val="false"/>
          <w:iCs w:val="false"/>
          <w:color w:val="000000"/>
          <w:sz w:val="22"/>
          <w:szCs w:val="22"/>
        </w:rPr>
        <w:t xml:space="preserve">Stage 1 is agreed at the start of the engagement. Stage 2 is taken close to the registration visit and interviews. If registration is refused following the interview stage, the Stage 2 fee is refunded — Cura’s guaranteed-success approach. This guarantee assumes the provider has completed their own actions (planning, premises, staffing and funding) in line with this roadmap.</w:t>
      </w:r>
    </w:p>
    <w:p>
      <w:pPr>
        <w:spacing w:after="120" w:before="0"/>
      </w:pPr>
      <w:r>
        <w:rPr>
          <w:b w:val="false"/>
          <w:bCs w:val="false"/>
          <w:i w:val="false"/>
          <w:iCs w:val="false"/>
          <w:color w:val="595959"/>
          <w:sz w:val="22"/>
          <w:szCs w:val="22"/>
        </w:rPr>
        <w:t xml:space="preserve">The Ofsted registration fee, and the annual fee payable once registered, are paid separately by the provider directly to Ofsted and are non-refundable.</w:t>
      </w:r>
    </w:p>
    <w:p>
      <w:pPr>
        <w:pStyle w:val="Heading1"/>
        <w:spacing w:after="120" w:before="160"/>
      </w:pPr>
      <w:r>
        <w:rPr>
          <w:b/>
          <w:bCs/>
          <w:color w:val="1B3A5C"/>
          <w:sz w:val="28"/>
          <w:szCs w:val="28"/>
        </w:rPr>
        <w:t xml:space="preserve">Ongoing support and communication</w:t>
      </w:r>
    </w:p>
    <w:p>
      <w:pPr>
        <w:pStyle w:val="ListParagraph"/>
        <w:numPr>
          <w:ilvl w:val="0"/>
          <w:numId w:val="5"/>
        </w:numPr>
        <w:spacing w:after="60" w:before="0"/>
      </w:pPr>
      <w:r>
        <w:rPr>
          <w:sz w:val="22"/>
          <w:szCs w:val="22"/>
        </w:rPr>
        <w:t xml:space="preserve">Access to our business WhatsApp for quick queries and updates.</w:t>
      </w:r>
    </w:p>
    <w:p>
      <w:pPr>
        <w:pStyle w:val="ListParagraph"/>
        <w:numPr>
          <w:ilvl w:val="0"/>
          <w:numId w:val="5"/>
        </w:numPr>
        <w:spacing w:after="60" w:before="0"/>
      </w:pPr>
      <w:r>
        <w:rPr>
          <w:sz w:val="22"/>
          <w:szCs w:val="22"/>
        </w:rPr>
        <w:t xml:space="preserve">Two dedicated consultants available throughout the process.</w:t>
      </w:r>
    </w:p>
    <w:p>
      <w:pPr>
        <w:pStyle w:val="ListParagraph"/>
        <w:numPr>
          <w:ilvl w:val="0"/>
          <w:numId w:val="5"/>
        </w:numPr>
        <w:spacing w:after="60" w:before="0"/>
      </w:pPr>
      <w:r>
        <w:rPr>
          <w:sz w:val="22"/>
          <w:szCs w:val="22"/>
        </w:rPr>
        <w:t xml:space="preserve">Office consultation meetings arranged as needed.</w:t>
      </w:r>
    </w:p>
    <w:p>
      <w:pPr>
        <w:pStyle w:val="ListParagraph"/>
        <w:numPr>
          <w:ilvl w:val="0"/>
          <w:numId w:val="5"/>
        </w:numPr>
        <w:spacing w:after="60" w:before="0"/>
      </w:pPr>
      <w:r>
        <w:rPr>
          <w:sz w:val="22"/>
          <w:szCs w:val="22"/>
        </w:rPr>
        <w:t xml:space="preserve">Guidance, mentoring sessions and advisory consultations at each phase.</w:t>
      </w:r>
    </w:p>
    <w:p>
      <w:pPr>
        <w:spacing w:after="120" w:before="0"/>
      </w:pPr>
      <w:r>
        <w:rPr>
          <w:b w:val="false"/>
          <w:bCs w:val="false"/>
          <w:i w:val="false"/>
          <w:iCs w:val="false"/>
          <w:color w:val="595959"/>
          <w:sz w:val="22"/>
          <w:szCs w:val="22"/>
        </w:rPr>
        <w:t xml:space="preserve">Website development: we also offer a separate website development service through a dedicated developer. Please speak with us for details.</w:t>
      </w:r>
    </w:p>
    <w:p>
      <w:pPr>
        <w:pStyle w:val="Heading1"/>
        <w:spacing w:after="120" w:before="160"/>
      </w:pPr>
      <w:r>
        <w:rPr>
          <w:b/>
          <w:bCs/>
          <w:color w:val="1B3A5C"/>
          <w:sz w:val="28"/>
          <w:szCs w:val="28"/>
        </w:rPr>
        <w:t xml:space="preserve">Our partnership approach</w:t>
      </w:r>
    </w:p>
    <w:p>
      <w:pPr>
        <w:spacing w:after="120" w:before="0"/>
      </w:pPr>
      <w:r>
        <w:rPr>
          <w:b w:val="false"/>
          <w:bCs w:val="false"/>
          <w:i w:val="false"/>
          <w:iCs w:val="false"/>
          <w:color w:val="000000"/>
          <w:sz w:val="22"/>
          <w:szCs w:val="22"/>
        </w:rPr>
        <w:t xml:space="preserve">This process is built on partnership. We commit to expert guidance, thorough documentation and hands-on support at every stage. Because Ofsted requires the home to be ready to operate at the registration visit, the provider’s timely completion of planning, premises and staffing actions is essential to the timeline and to a successful outcome. In return, we ask our clients to:</w:t>
      </w:r>
    </w:p>
    <w:p>
      <w:pPr>
        <w:pStyle w:val="ListParagraph"/>
        <w:numPr>
          <w:ilvl w:val="0"/>
          <w:numId w:val="6"/>
        </w:numPr>
        <w:spacing w:after="60" w:before="0"/>
      </w:pPr>
      <w:r>
        <w:rPr>
          <w:sz w:val="22"/>
          <w:szCs w:val="22"/>
        </w:rPr>
        <w:t xml:space="preserve">Follow our recommendations and guidance throughout the process.</w:t>
      </w:r>
    </w:p>
    <w:p>
      <w:pPr>
        <w:pStyle w:val="ListParagraph"/>
        <w:numPr>
          <w:ilvl w:val="0"/>
          <w:numId w:val="6"/>
        </w:numPr>
        <w:spacing w:after="60" w:before="0"/>
      </w:pPr>
      <w:r>
        <w:rPr>
          <w:sz w:val="22"/>
          <w:szCs w:val="22"/>
        </w:rPr>
        <w:t xml:space="preserve">Review all shared documents and provide timely feedback.</w:t>
      </w:r>
    </w:p>
    <w:p>
      <w:pPr>
        <w:pStyle w:val="ListParagraph"/>
        <w:numPr>
          <w:ilvl w:val="0"/>
          <w:numId w:val="6"/>
        </w:numPr>
        <w:spacing w:after="60" w:before="0"/>
      </w:pPr>
      <w:r>
        <w:rPr>
          <w:sz w:val="22"/>
          <w:szCs w:val="22"/>
        </w:rPr>
        <w:t xml:space="preserve">Complete the provider actions in this roadmap within the agreed timeframes.</w:t>
      </w:r>
    </w:p>
    <w:p>
      <w:pPr>
        <w:pStyle w:val="ListParagraph"/>
        <w:numPr>
          <w:ilvl w:val="0"/>
          <w:numId w:val="6"/>
        </w:numPr>
        <w:spacing w:after="60" w:before="0"/>
      </w:pPr>
      <w:r>
        <w:rPr>
          <w:sz w:val="22"/>
          <w:szCs w:val="22"/>
        </w:rPr>
        <w:t xml:space="preserve">Tell us promptly if any plans or circumstances change.</w:t>
      </w:r>
    </w:p>
    <w:p>
      <w:pPr>
        <w:spacing w:after="200" w:before="0"/>
      </w:pPr>
      <w:r>
        <w:rPr>
          <w:b w:val="false"/>
          <w:bCs w:val="false"/>
          <w:i w:val="false"/>
          <w:iCs w:val="false"/>
          <w:color w:val="000000"/>
          <w:sz w:val="22"/>
          <w:szCs w:val="22"/>
        </w:rPr>
        <w:t xml:space="preserve">We encourage initiative, but please note that Cura Compliance UK cannot take responsibility for actions taken without our guidance. Our success depends on working together towards a shared goal.</w:t>
      </w:r>
    </w:p>
    <w:p>
      <w:pPr>
        <w:pBdr>
          <w:bottom w:val="single" w:color="2E7D8C" w:sz="8" w:space="1"/>
        </w:pBdr>
        <w:spacing w:after="160" w:before="80"/>
      </w:pPr>
      <w:r>
        <w:rPr>
          <w:sz w:val="4"/>
          <w:szCs w:val="4"/>
        </w:rPr>
        <w:t xml:space="preserve"/>
      </w:r>
    </w:p>
    <w:p>
      <w:pPr>
        <w:spacing w:after="0" w:before="60"/>
        <w:jc w:val="center"/>
      </w:pPr>
      <w:r>
        <w:rPr>
          <w:b/>
          <w:bCs/>
          <w:color w:val="1B3A5C"/>
          <w:sz w:val="22"/>
          <w:szCs w:val="22"/>
        </w:rPr>
        <w:t xml:space="preserve">Cura Compliance UK  |  Your Partner in Ofsted Children’s Home Registration</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FBFBF" w:sz="4" w:space="6"/>
      </w:pBdr>
      <w:jc w:val="center"/>
    </w:pPr>
    <w:r>
      <w:rPr>
        <w:color w:val="595959"/>
        <w:sz w:val="16"/>
        <w:szCs w:val="16"/>
      </w:rPr>
      <w:t xml:space="preserve">Cura Compliance UK  ·  Ofsted Children’s Home Registration Roadmap  ·  Page </w:t>
    </w:r>
    <w:fldSimple w:instr="PAG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80"/>
      </w:pPr>
    </w:lvl>
  </w:abstractNum>
  <w:abstractNum w:abstractNumId="3" w15:restartNumberingAfterBreak="0">
    <w:multiLevelType w:val="hybridMultilevel"/>
    <w:lvl w:ilvl="0" w15:tentative="1">
      <w:start w:val="1"/>
      <w:numFmt w:val="bullet"/>
      <w:lvlText w:val="•"/>
      <w:lvlJc w:val="left"/>
      <w:pPr>
        <w:ind w:left="540" w:hanging="280"/>
      </w:pPr>
    </w:lvl>
  </w:abstractNum>
  <w:abstractNum w:abstractNumId="4" w15:restartNumberingAfterBreak="0">
    <w:multiLevelType w:val="hybridMultilevel"/>
    <w:lvl w:ilvl="0" w15:tentative="1">
      <w:start w:val="1"/>
      <w:numFmt w:val="bullet"/>
      <w:lvlText w:val="•"/>
      <w:lvlJc w:val="left"/>
      <w:pPr>
        <w:ind w:left="540" w:hanging="280"/>
      </w:pPr>
    </w:lvl>
  </w:abstractNum>
  <w:abstractNum w:abstractNumId="5" w15:restartNumberingAfterBreak="0">
    <w:multiLevelType w:val="hybridMultilevel"/>
    <w:lvl w:ilvl="0" w15:tentative="1">
      <w:start w:val="1"/>
      <w:numFmt w:val="bullet"/>
      <w:lvlText w:val="•"/>
      <w:lvlJc w:val="left"/>
      <w:pPr>
        <w:ind w:left="540" w:hanging="280"/>
      </w:pPr>
    </w:lvl>
  </w:abstractNum>
  <w:abstractNum w:abstractNumId="6" w15:restartNumberingAfterBreak="0">
    <w:multiLevelType w:val="hybridMultilevel"/>
    <w:lvl w:ilvl="0" w15:tentative="1">
      <w:start w:val="1"/>
      <w:numFmt w:val="bullet"/>
      <w:lvlText w:val="□"/>
      <w:lvlJc w:val="left"/>
      <w:pPr>
        <w:ind w:left="460" w:hanging="280"/>
      </w:pPr>
    </w:lvl>
  </w:abstractNum>
  <w:num w:numId="1">
    <w:abstractNumId w:val="1"/>
    <w:lvlOverride w:ilvl="0">
      <w:startOverride w:val="1"/>
    </w:lvlOverride>
  </w:num>
  <w:num w:numId="2">
    <w:abstractNumId w:val="2"/>
    <w:lvlOverride w:ilvl="0">
      <w:startOverride w:val="1"/>
    </w:lvlOverride>
  </w:num>
  <w:num w:numId="3">
    <w:abstractNumId w:val="6"/>
    <w:lvlOverride w:ilvl="0">
      <w:startOverride w:val="1"/>
    </w:lvlOverride>
  </w:num>
  <w:num w:numId="4">
    <w:abstractNumId w:val="3"/>
    <w:lvlOverride w:ilvl="0">
      <w:startOverride w:val="1"/>
    </w:lvlOverride>
  </w:num>
  <w:num w:numId="5">
    <w:abstractNumId w:val="4"/>
    <w:lvlOverride w:ilvl="0">
      <w:startOverride w:val="1"/>
    </w:lvlOverride>
  </w:num>
  <w:num w:numId="6">
    <w:abstractNumId w:val="5"/>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1B3A5C"/>
      <w:sz w:val="28"/>
      <w:szCs w:val="28"/>
    </w:rPr>
  </w:style>
  <w:style w:type="paragraph" w:styleId="Heading2">
    <w:name w:val="Heading 2"/>
    <w:basedOn w:val="Normal"/>
    <w:next w:val="Normal"/>
    <w:qFormat/>
    <w:pPr>
      <w:spacing w:after="100" w:before="180"/>
      <w:outlineLvl w:val="1"/>
    </w:pPr>
    <w:rPr>
      <w:rFonts w:ascii="Arial" w:cs="Arial" w:eastAsia="Arial" w:hAnsi="Arial"/>
      <w:b/>
      <w:bCs/>
      <w:color w:val="1B3A5C"/>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2026-06-17T09:03:58.529Z</dcterms:created>
  <dcterms:modified xsi:type="dcterms:W3CDTF">2026-06-17T09:03:58.544Z</dcterms:modified>
</cp:coreProperties>
</file>

<file path=docProps/custom.xml><?xml version="1.0" encoding="utf-8"?>
<Properties xmlns="http://schemas.openxmlformats.org/officeDocument/2006/custom-properties" xmlns:vt="http://schemas.openxmlformats.org/officeDocument/2006/docPropsVTypes"/>
</file>